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1" w:rsidRDefault="00ED3A74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Клесівський ліцей</w:t>
      </w:r>
    </w:p>
    <w:p w:rsidR="003F3B71" w:rsidRDefault="00ED3A74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Сарненського району</w:t>
      </w:r>
    </w:p>
    <w:p w:rsidR="003F3B71" w:rsidRDefault="00ED3A74">
      <w:pPr>
        <w:spacing w:after="0" w:line="240" w:lineRule="auto"/>
        <w:ind w:left="11" w:hanging="1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Рівненської області</w:t>
      </w:r>
    </w:p>
    <w:p w:rsidR="003F3B71" w:rsidRDefault="00ED3A74">
      <w:pPr>
        <w:spacing w:after="213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B71" w:rsidRDefault="00ED3A74">
      <w:pPr>
        <w:spacing w:after="0"/>
        <w:ind w:left="5171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ЗАТВЕРДЖЕНО </w:t>
      </w:r>
    </w:p>
    <w:p w:rsidR="003F3B71" w:rsidRDefault="00ED3A74">
      <w:pPr>
        <w:spacing w:after="10" w:line="267" w:lineRule="auto"/>
        <w:ind w:left="5748" w:right="-13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 педагогічної ради </w:t>
      </w:r>
    </w:p>
    <w:p w:rsidR="003F3B71" w:rsidRDefault="00ED3A74">
      <w:pPr>
        <w:spacing w:after="10" w:line="267" w:lineRule="auto"/>
        <w:ind w:left="5748" w:right="-13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«___» _____ 2022 р., </w:t>
      </w:r>
    </w:p>
    <w:p w:rsidR="003F3B71" w:rsidRDefault="00ED3A74">
      <w:pPr>
        <w:spacing w:after="10" w:line="267" w:lineRule="auto"/>
        <w:ind w:left="5748" w:right="-138" w:hanging="1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__ </w:t>
      </w:r>
    </w:p>
    <w:p w:rsidR="003F3B71" w:rsidRDefault="00ED3A74">
      <w:pPr>
        <w:spacing w:after="220"/>
        <w:ind w:left="67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B71" w:rsidRDefault="00ED3A74">
      <w:pPr>
        <w:spacing w:after="18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B71" w:rsidRDefault="00ED3A74">
      <w:pPr>
        <w:spacing w:after="21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B71" w:rsidRDefault="00ED3A74">
      <w:pPr>
        <w:spacing w:after="19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B71" w:rsidRDefault="00ED3A74">
      <w:pPr>
        <w:spacing w:after="76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B71" w:rsidRDefault="00ED3A74">
      <w:pPr>
        <w:spacing w:after="68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ІНФОРМАТИКА </w:t>
      </w:r>
    </w:p>
    <w:p w:rsidR="003F3B71" w:rsidRDefault="00ED3A74">
      <w:pPr>
        <w:spacing w:after="10" w:line="267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НАВЧАЛЬНА ПРОГРАМА ДЛЯ 6 КЛАСУ </w:t>
      </w:r>
    </w:p>
    <w:p w:rsidR="003F3B71" w:rsidRDefault="00ED3A74">
      <w:pPr>
        <w:spacing w:after="73"/>
        <w:ind w:lef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B71" w:rsidRDefault="00ED3A74">
      <w:pPr>
        <w:spacing w:after="64" w:line="267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Розроблена на основі  модельної програми  </w:t>
      </w:r>
    </w:p>
    <w:p w:rsidR="003F3B71" w:rsidRDefault="00ED3A74">
      <w:pPr>
        <w:spacing w:after="63" w:line="267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«Інформатика, 5-6 клас для закладів загальної середньої освіти» </w:t>
      </w:r>
    </w:p>
    <w:p w:rsidR="003F3B71" w:rsidRDefault="00ED3A74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(авт. Пасічник О. В., Чернікова Л. А.) </w:t>
      </w:r>
    </w:p>
    <w:p w:rsidR="003F3B71" w:rsidRDefault="003F3B71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B71" w:rsidRDefault="003F3B71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B71" w:rsidRDefault="00ED3A74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Підручник</w:t>
      </w:r>
    </w:p>
    <w:p w:rsidR="003F3B71" w:rsidRDefault="00ED3A74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«Інформатика. 6 клас.</w:t>
      </w:r>
    </w:p>
    <w:p w:rsidR="003F3B71" w:rsidRDefault="00ED3A74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закладів загальної середньої освіти</w:t>
      </w:r>
    </w:p>
    <w:p w:rsidR="003F3B71" w:rsidRDefault="00ED3A74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Міністерством освіти і науки України</w:t>
      </w:r>
    </w:p>
    <w:p w:rsidR="003F3B71" w:rsidRDefault="00ED3A74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(наказ Міністерства освіт</w:t>
      </w:r>
      <w:r>
        <w:rPr>
          <w:rFonts w:ascii="Times New Roman" w:eastAsia="Times New Roman" w:hAnsi="Times New Roman" w:cs="Times New Roman"/>
          <w:sz w:val="28"/>
          <w:szCs w:val="28"/>
        </w:rPr>
        <w:t>и і науки України від 08.02.2022 р. No 140)</w:t>
      </w:r>
    </w:p>
    <w:p w:rsidR="003F3B71" w:rsidRDefault="00ED3A74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Тріщук Інна</w:t>
      </w:r>
    </w:p>
    <w:p w:rsidR="003F3B71" w:rsidRDefault="00ED3A74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Видавництво «Навчальна книга – Богдан»</w:t>
      </w:r>
    </w:p>
    <w:p w:rsidR="003F3B71" w:rsidRDefault="003F3B71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3B71" w:rsidRDefault="003F3B71">
      <w:pPr>
        <w:spacing w:after="223"/>
        <w:ind w:left="61"/>
        <w:jc w:val="center"/>
      </w:pPr>
    </w:p>
    <w:p w:rsidR="003F3B71" w:rsidRDefault="00ED3A74">
      <w:pPr>
        <w:spacing w:after="223"/>
        <w:ind w:left="61"/>
        <w:jc w:val="center"/>
      </w:pPr>
      <w:r>
        <w:rPr>
          <w:sz w:val="28"/>
          <w:szCs w:val="28"/>
        </w:rPr>
        <w:t xml:space="preserve"> </w:t>
      </w:r>
    </w:p>
    <w:p w:rsidR="003F3B71" w:rsidRDefault="00ED3A74">
      <w:pPr>
        <w:spacing w:after="263"/>
        <w:ind w:left="61"/>
        <w:jc w:val="center"/>
      </w:pPr>
      <w:r>
        <w:rPr>
          <w:sz w:val="28"/>
          <w:szCs w:val="28"/>
        </w:rPr>
        <w:t xml:space="preserve"> </w:t>
      </w:r>
    </w:p>
    <w:p w:rsidR="003F3B71" w:rsidRDefault="00ED3A74">
      <w:pPr>
        <w:spacing w:after="234"/>
        <w:ind w:right="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Підготувала: І.В. Тріщук </w:t>
      </w:r>
    </w:p>
    <w:p w:rsidR="003F3B71" w:rsidRDefault="00ED3A74">
      <w:pPr>
        <w:spacing w:after="223"/>
        <w:ind w:left="61"/>
        <w:jc w:val="center"/>
      </w:pPr>
      <w:r>
        <w:rPr>
          <w:sz w:val="28"/>
          <w:szCs w:val="28"/>
        </w:rPr>
        <w:t xml:space="preserve"> </w:t>
      </w:r>
    </w:p>
    <w:p w:rsidR="003F3B71" w:rsidRDefault="00ED3A74">
      <w:pPr>
        <w:spacing w:after="223"/>
        <w:ind w:left="61"/>
        <w:jc w:val="center"/>
      </w:pPr>
      <w:r>
        <w:rPr>
          <w:sz w:val="28"/>
          <w:szCs w:val="28"/>
        </w:rPr>
        <w:t xml:space="preserve"> </w:t>
      </w:r>
    </w:p>
    <w:p w:rsidR="003F3B71" w:rsidRDefault="00ED3A74">
      <w:pPr>
        <w:spacing w:after="223"/>
        <w:ind w:left="61"/>
        <w:jc w:val="center"/>
      </w:pPr>
      <w:r>
        <w:rPr>
          <w:sz w:val="28"/>
          <w:szCs w:val="28"/>
        </w:rPr>
        <w:t xml:space="preserve"> </w:t>
      </w:r>
    </w:p>
    <w:p w:rsidR="003F3B71" w:rsidRDefault="00ED3A74">
      <w:pPr>
        <w:spacing w:after="211" w:line="267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2023-2024 навчальний рік</w:t>
      </w:r>
    </w:p>
    <w:p w:rsidR="003F3B71" w:rsidRDefault="00ED3A74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F3B71" w:rsidRDefault="00ED3A74">
      <w:pPr>
        <w:spacing w:after="87"/>
        <w:ind w:left="47"/>
        <w:jc w:val="center"/>
      </w:pPr>
      <w:r>
        <w:t xml:space="preserve"> </w:t>
      </w:r>
    </w:p>
    <w:p w:rsidR="003F3B71" w:rsidRDefault="00ED3A74">
      <w:pPr>
        <w:pStyle w:val="Heading1"/>
        <w:spacing w:after="157" w:line="270" w:lineRule="auto"/>
        <w:ind w:left="10" w:right="1" w:firstLine="416"/>
        <w:jc w:val="center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І. Вступ </w:t>
      </w:r>
    </w:p>
    <w:p w:rsidR="003F3B71" w:rsidRDefault="00ED3A74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Навчальна програма з інформатики для 5–6 класів закладів загальної середньої освіти  відповідає : </w:t>
      </w:r>
    </w:p>
    <w:p w:rsidR="003F3B71" w:rsidRDefault="00ED3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Закону України «Про повну загальну середню освіту» від 16 січня 2020 року № 463IX, </w:t>
      </w:r>
    </w:p>
    <w:p w:rsidR="003F3B71" w:rsidRDefault="00ED3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Державному стандарту базової середньої освіти, затвердженого постановою 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абінету Міністрів України від 30 вересня 2020 року № 898 (далі — Державний стандарт), </w:t>
      </w:r>
    </w:p>
    <w:p w:rsidR="003F3B71" w:rsidRDefault="00ED3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Типовій освітній програмі для 5–9 класів закладів загальної середньої освіти, затвердженої наказом Міністерства освіти і науки України від 19 лютого 2021 року № 235, </w:t>
      </w:r>
    </w:p>
    <w:p w:rsidR="003F3B71" w:rsidRDefault="00ED3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дельній програмі «Інформатика. 5-6 класи» для закладів загальної середньої освіти» (авт. Пасічник О.В., Чернікова Л.А.). </w:t>
      </w:r>
    </w:p>
    <w:p w:rsidR="003F3B71" w:rsidRDefault="00ED3A74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Мета курсу досягається вирішенням завдань щодо реалізації обов'язкових результатів навчання інформатичної освітньої галузі, які передб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ачають, що учень/учениця: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знаходить, аналізує, перетворює, узагальнює, систематизує та подає дані, критично оцінює інформацію для розв’язання життєвих проблем;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створює інформаційні продукти і програми для ефективного розв’язання задач/проблем, творчого самовираження індивідуально та у співпраці з іншими особами за допомогою цифрових пристроїв чи без них;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● усвідомлено використовує інформаційні та комунікаційні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технології і цифрові інструменти для доступу до інформації, спілкування та співпраці як творець та (або) споживач, а також самостійно опановує нові технології;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усвідомлює наслідки використання інформаційних технологій для себе, суспільства, навколишнього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природного середовища, дотримується етичних, культурних і правових норм інформаційної взаємодії.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Досягнення обов’язкових результатів навчання визначається на основі компетентнісного підходу. Компетентнісний потенціал курсу «Інформатика (5-6 класи)» відпов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ідає компетентнісному потенціалу інформатичної освітньої галузі, який полягає у розвитку на уроках інформатики всіх ключових компетентностей, визначених Державним стандартом базової середньої освіти, а саме: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Вільне володіння державною мовою, наприклад, 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міння висловлюватись на тему сучасних цифрових технологій з використанням відповідної термінології під час вивчення інформаційних систем та мереж; створювати цифрові інформаційні об’єкти державною мовою, вивчаючи технології опрацювання текстів та презентац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ій тощо;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Здатність спілкуватися рідною та іноземними мовами, наприклад, оперувати міжнародною термінологією у сфері інформаційних технологій під час вивчення інформаційних систем та мереж; використовувати різні програмні засоби для тлумачення слів, перев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ірки правопису, перекладу тексту та веб-сторінок тощо;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Математична компетентність, наприклад, створювати математичні моделі об’єктів і процесів для розв’язування задач різних предметних галузей засобами цифрових технологій під час розробки власних програ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мних проєктів; створювати діаграми різних типів засобами цифрових технологій для візуалізації числових даних та їх аналізу тощо;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● Компетентності в галузі природничих наук, техніки і технологій, наприклад, визначати загальні фізичні принципи будови і функц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іонування інформаційних систем і середовищ, цифрових пристроїв під час вивчення інформаційних систем та мереж; проводити навчальні дослідження природничо-технологічного змісту та комп'ютерні експерименти, створюючи власні програмні проєкти та інформаційні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продукти з візуалізацією відповідних результатів тощо;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Інноваційність, наприклад, генерувати й реалізовувати ідеї з використанням цифрових технологій, опановуючи тематичні розділи змістової лінії “Цифрова творчість”; розпізнавати та описувати поширення ц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ифрових інновацій у науці і суспільстві під час вивчення інформаційних систем та мереж тощо;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Екологічна компетентність, наприклад, визнання необхідності застосування екологічних засад використання й утилізації цифрових пристроїв під час вивчення інформац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ійних систем та мереж; усвідомлення впливу інформаційно-комунікаційних технологій і пристроїв на довкілля тощо;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Навчання впродовж життя, наприклад, прагнення самостійно опановувати нові інформаційні технології й цифрові інструменти при формуванні власног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 цифрового середовища; усвідомлення власних досягнень і потреб у навчанні в галузі інформаційних технологій тощо;</w:t>
      </w:r>
    </w:p>
    <w:p w:rsidR="003F3B71" w:rsidRDefault="00ED3A74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Громадянські та соціальні компетентності, наприклад, дотримуватись принципів цифрового громадянства, співпрацюючи в онлайнових групах та сп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ільнотах; мережевого етикету під час спілкування в інтернеті тощо;</w:t>
      </w:r>
    </w:p>
    <w:p w:rsidR="003F3B71" w:rsidRDefault="00ED3A74">
      <w:pPr>
        <w:spacing w:after="30" w:line="290" w:lineRule="auto"/>
        <w:ind w:left="993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● Культурна компетентність, наприклад, створювати різнопланові медіапродукти (текстові документи, графічні зображення, презентації, анімації тощо) з використанням інформаційних технологій;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враховувати художньо-естетичний аспект у створенні інформаційних продуктів та їх представленні тощо;</w:t>
      </w:r>
    </w:p>
    <w:p w:rsidR="003F3B71" w:rsidRDefault="00ED3A74">
      <w:pPr>
        <w:spacing w:after="30" w:line="290" w:lineRule="auto"/>
        <w:ind w:left="993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Підприємливість та фінансова грамотність, наприклад, ідентифікувати можливості цифрових технологій і пристроїв для створення цінностей, ведення діяльност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 й розвитку підприємливості в контексті виконання власних проєктів, створення інформаційних продуктів тощо;</w:t>
      </w:r>
    </w:p>
    <w:p w:rsidR="003F3B71" w:rsidRDefault="00ED3A74">
      <w:pPr>
        <w:spacing w:after="30" w:line="290" w:lineRule="auto"/>
        <w:ind w:left="993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Інформаційно-комунікаційна компетентність, наприклад, розв’язувати проблеми з використанням цифрових пристроїв та технологій для розвитку, власно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го й суспільного добробуту; використовувати логічне, системне і структурне мислення для побудови інформаційних моделей і розуміння інформаційної картини світу під час вивчення теми “Інформаційна мозаїка” тощо.</w:t>
      </w:r>
    </w:p>
    <w:p w:rsidR="003F3B71" w:rsidRDefault="00ED3A74">
      <w:pPr>
        <w:spacing w:after="30" w:line="290" w:lineRule="auto"/>
        <w:ind w:left="-15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Слід зауважити, що розвиток ключової інформаці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йно-комунікаційної компетентності, метою якої є впевнене, критичне і відповідальне використання цифрових технологій для власного розвитку і спілкування; здатність безпечно застосовувати інформаційно-комунікаційні засоби в навчанні та інших життєвих ситуаці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ях, дотримуючись принципів академічної доброчесності, не є прерогативою виключно інформатичної освітньої галузі та окремого курсу інформатики. Відповідно до Державного стандарту загальної середньої освіти у всіх освітніх галузях, в окремих предметах чи інт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егрованих курсах передбачається відповідний зміст, обов'язкові результати навчання та різні види навчальної діяльності для формування цифрової компетентності учнів, забезпечуючи таким чином її всебічний розвиток, інтегративний характер та метапредметність.</w:t>
      </w:r>
    </w:p>
    <w:p w:rsidR="003F3B71" w:rsidRDefault="003F3B71">
      <w:pPr>
        <w:spacing w:after="30" w:line="290" w:lineRule="auto"/>
        <w:ind w:left="-15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ED3A74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Програма реалізує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мету інформатичної освітньої галузі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відповідно до вимог Державного освітнього стандарту: розвиток особистості учня, здатного використовувати цифрові інструменти і технології для розв‘язування проблем, розвитку, творчого самовираження, 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абезпечення власного і суспільного добробуту, критично мислити, безпечно та відповідально діяти в інформаційному суспільстві.   </w:t>
      </w:r>
    </w:p>
    <w:p w:rsidR="003F3B71" w:rsidRDefault="00ED3A74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Програма ґрунтується на реалізації провідних освітніх підходів до  цифрового громадянства, інфомедійної грамотності та STEM-осв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іти.  Очікувані результати навчання можуть бути досягнуті через зміст та пропоновані види навчальної діяльності, які об‘єднані у три концепти: комп‘ютер як напрямок науки, комп‘ютер як інструмент, комп‘ютер у суспільстві, що реалізуються 4-ма змістовними 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ініями: інформація, дані, моделі;  цифрові пристрої; цифрова творчість; безпека та відповідальність.  У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результаті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навчання учень/учениця: </w:t>
      </w:r>
    </w:p>
    <w:p w:rsidR="003F3B71" w:rsidRDefault="00ED3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5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знаходить, аналізує, перетворює, узагальнює, систематизує та подає дані, критично оцінює інформацію для розв‘язання життєвих проблем; </w:t>
      </w:r>
    </w:p>
    <w:p w:rsidR="003F3B71" w:rsidRDefault="00ED3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створює інформаційні продукти і програми для ефективного розв‘язання задач/проблем, творчого самовираження індивідуально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та у співпраці з іншими особами за допомогою цифрових пристроїв чи без них; </w:t>
      </w:r>
    </w:p>
    <w:p w:rsidR="003F3B71" w:rsidRDefault="00ED3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усвідомлено використовує інформаційні та комунікаційні технології і цифрові інструменти для доступу до інформації, спілкування та співпраці як творець та (або) споживач, а також с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амостійно опановує нові технології; </w:t>
      </w:r>
    </w:p>
    <w:p w:rsidR="003F3B71" w:rsidRDefault="00ED3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51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усвідомлює наслідки використання інформаційних технологій для себе, суспільства, навколишнього природного середовища, дотримується етичних, культурних і правових норм інформаційної взаємодії. </w:t>
      </w:r>
    </w:p>
    <w:p w:rsidR="003F3B71" w:rsidRDefault="003F3B71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ED3A74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Інформатичним внеском у 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еалізацію STEM-проєктів є обчислювальне мислення, як підхід до формулювання та пошуку рішень задач таким чином, щоб до їх розв'язання залучити можливості комп'ютерних систем. Конкретні методи обчислювального мислення включають:</w:t>
      </w:r>
    </w:p>
    <w:p w:rsidR="003F3B71" w:rsidRDefault="00ED3A74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декомпозицію, як вміння розбивати задачу на окремі кроки чи етапи, і зворотний процес утворення складного рішення з окремих частин;</w:t>
      </w:r>
    </w:p>
    <w:p w:rsidR="003F3B71" w:rsidRDefault="00ED3A74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● виявлення шаблонів, тобто схожих елементів чи їх особливостей, що дозволяє робити прогнози чи знаходити спільні рішення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різних задач;</w:t>
      </w:r>
    </w:p>
    <w:p w:rsidR="003F3B71" w:rsidRDefault="00ED3A74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абстрагування, тобто вміння узагальнити інформацію, необхідну для розв'язання задачі, і відкинути зайві деталі;</w:t>
      </w:r>
    </w:p>
    <w:p w:rsidR="003F3B71" w:rsidRDefault="00ED3A74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розробку алгоритму, як покрокової стратегії розв'язання задачі.</w:t>
      </w:r>
    </w:p>
    <w:p w:rsidR="003F3B71" w:rsidRDefault="00ED3A74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Ці поняття мають стати пріоритетом, фокусом предметної уваги 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 уроках інформатики, впродовж опанування учнями різних тем, від створення програмних проєктів до вивчення інформаційних систем та дослідження застосування моделювання для розв’язання задач.</w:t>
      </w:r>
    </w:p>
    <w:p w:rsidR="003F3B71" w:rsidRDefault="00ED3A74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Змістові лінії курсу “Інформатика (5-6 класи) визначено відповідн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 до основних завдань реалізації інформатичної освітньої галузі:</w:t>
      </w:r>
    </w:p>
    <w:p w:rsidR="003F3B71" w:rsidRDefault="003F3B71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ED3A74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1. Інформація. Дані. Моделі.</w:t>
      </w:r>
    </w:p>
    <w:p w:rsidR="003F3B71" w:rsidRDefault="00ED3A74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 Цифрова творчість</w:t>
      </w:r>
    </w:p>
    <w:p w:rsidR="003F3B71" w:rsidRDefault="00ED3A74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3. Цифрові пристрої</w:t>
      </w:r>
    </w:p>
    <w:p w:rsidR="003F3B71" w:rsidRDefault="00ED3A74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4. Безпека та відповідальність</w:t>
      </w:r>
    </w:p>
    <w:p w:rsidR="003F3B71" w:rsidRDefault="00ED3A74">
      <w:pPr>
        <w:spacing w:after="354"/>
        <w:ind w:left="10" w:right="-13" w:firstLine="416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</w:rPr>
        <w:sectPr w:rsidR="003F3B71">
          <w:footerReference w:type="even" r:id="rId8"/>
          <w:footerReference w:type="default" r:id="rId9"/>
          <w:footerReference w:type="first" r:id="rId10"/>
          <w:pgSz w:w="11906" w:h="16838"/>
          <w:pgMar w:top="634" w:right="561" w:bottom="709" w:left="709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 </w:t>
      </w:r>
    </w:p>
    <w:p w:rsidR="003F3B71" w:rsidRDefault="00ED3A74">
      <w:pPr>
        <w:pStyle w:val="Heading1"/>
        <w:spacing w:after="0"/>
        <w:ind w:left="4962" w:right="0"/>
      </w:pPr>
      <w:r>
        <w:lastRenderedPageBreak/>
        <w:t xml:space="preserve">ІІ. Зміст навчання інформатики </w:t>
      </w:r>
    </w:p>
    <w:tbl>
      <w:tblPr>
        <w:tblStyle w:val="a"/>
        <w:tblW w:w="15072" w:type="dxa"/>
        <w:tblInd w:w="-108" w:type="dxa"/>
        <w:tblLayout w:type="fixed"/>
        <w:tblLook w:val="0400"/>
      </w:tblPr>
      <w:tblGrid>
        <w:gridCol w:w="1178"/>
        <w:gridCol w:w="2179"/>
        <w:gridCol w:w="2533"/>
        <w:gridCol w:w="5072"/>
        <w:gridCol w:w="4110"/>
      </w:tblGrid>
      <w:tr w:rsidR="003F3B71">
        <w:trPr>
          <w:cantSplit/>
          <w:trHeight w:val="562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3F3B71" w:rsidRDefault="00ED3A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теми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Блок, тема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Змістові лінії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Діяльність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3F3B71">
        <w:trPr>
          <w:cantSplit/>
          <w:trHeight w:val="521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B71" w:rsidRDefault="003F3B71"/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3B71" w:rsidRDefault="003F3B71"/>
        </w:tc>
        <w:tc>
          <w:tcPr>
            <w:tcW w:w="7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F3B71" w:rsidRDefault="00ED3A74">
            <w:pPr>
              <w:ind w:left="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Презентації та анімації</w:t>
            </w:r>
          </w:p>
          <w:p w:rsidR="003F3B71" w:rsidRDefault="00ED3A74">
            <w:pPr>
              <w:ind w:left="184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r>
              <w:rPr>
                <w:i/>
                <w:sz w:val="28"/>
                <w:szCs w:val="28"/>
              </w:rPr>
              <w:t xml:space="preserve">4 год , якщо тижневе навантаження 1  година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B71" w:rsidRDefault="003F3B71"/>
        </w:tc>
      </w:tr>
      <w:tr w:rsidR="003F3B71">
        <w:trPr>
          <w:cantSplit/>
          <w:trHeight w:val="3598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Програмне забезпечення для створення й відтворення комп’ютерних презентацій. Етапи створення презентації та вимоги до її оформлення. Об’єкти презентації та засоби керування її демонстрацією. Типи слайдів.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 апаратного та програмного забезпечення для створення та перегляду комп’ютерних презентацій.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Налаштування робочого простору програми редагування комп’ютерних презентацій під власні потреби.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плану презентації з визначенням її мети та обґрунтованим вибором макетів слайдів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ind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мультимедійні презентації. Бере участь у представленні результатів групової роботи.</w:t>
            </w:r>
          </w:p>
          <w:p w:rsidR="003F3B71" w:rsidRDefault="003F3B71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Розпізнає життєві, навчальні проблеми, для розв’язання яких можна застосувати цифрові технології.</w:t>
            </w:r>
          </w:p>
        </w:tc>
      </w:tr>
      <w:tr w:rsidR="003F3B71">
        <w:trPr>
          <w:cantSplit/>
          <w:trHeight w:val="4703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Налаштування показу презентацій. Ефекти анімації, рух об’єктів в презентаціях. Різновиди та сфери застосування анімації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плану презентації з визначенням її мети та обґрунтованим вибором макетів слайдів.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презентації та налаштування її показу.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Налаштування властивостей та компонування об’єктів слайдів презентації.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Додавання до слайдів гіперпосилань, ефектів змін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слайдів та анімації.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spacing w:after="35" w:line="246" w:lineRule="auto"/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програмне забезпечення для простих розрахунків і візуалізації результатів.</w:t>
            </w:r>
          </w:p>
          <w:p w:rsidR="003F3B71" w:rsidRDefault="003F3B71">
            <w:pPr>
              <w:spacing w:after="35" w:line="246" w:lineRule="auto"/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35" w:line="246" w:lineRule="auto"/>
              <w:ind w:right="3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 формат і обсяг даних, потрібних для розв’язання задачі, підтвердження чи спростування тверджень.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</w:p>
        </w:tc>
      </w:tr>
      <w:tr w:rsidR="003F3B71">
        <w:trPr>
          <w:cantSplit/>
          <w:trHeight w:val="2673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 зміни слайдів. 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spacing w:after="23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Планування представлення презентації та виступ з нею перед аудиторією. </w:t>
            </w:r>
          </w:p>
          <w:p w:rsidR="003F3B71" w:rsidRDefault="00ED3A74">
            <w:pPr>
              <w:spacing w:after="23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Обґрунтований вибір та реалізація естетичного оформлення слайдів. </w:t>
            </w:r>
          </w:p>
          <w:p w:rsidR="003F3B71" w:rsidRDefault="003F3B71">
            <w:pPr>
              <w:spacing w:after="23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3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Оцінювання презентацій за наданими критеріями. </w:t>
            </w:r>
          </w:p>
          <w:p w:rsidR="003F3B71" w:rsidRDefault="00ED3A74">
            <w:pPr>
              <w:spacing w:after="23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Укладання списку джерел для дотримання авторських прав щодо об’єктів, використаних презентації.</w:t>
            </w:r>
          </w:p>
          <w:p w:rsidR="003F3B71" w:rsidRDefault="00ED3A74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Визначення та усунення простих апаратних й програмних проблем у власному цифровому середовищі.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spacing w:after="31" w:line="251" w:lineRule="auto"/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Визначає формат і обсяг даних, потрібних для розв’язання задачі,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підтвердження чи спростування тверджень.</w:t>
            </w:r>
          </w:p>
          <w:p w:rsidR="003F3B71" w:rsidRDefault="003F3B71">
            <w:pPr>
              <w:spacing w:after="31" w:line="251" w:lineRule="auto"/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31" w:line="251" w:lineRule="auto"/>
              <w:ind w:right="3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програмне забезпечення для простих розрахунків і візуалізації результатів</w:t>
            </w:r>
          </w:p>
          <w:p w:rsidR="003F3B71" w:rsidRDefault="00ED3A74">
            <w:pPr>
              <w:spacing w:after="31" w:line="251" w:lineRule="auto"/>
              <w:ind w:right="3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Зазначає джерела, використані у своїх роботах.</w:t>
            </w:r>
          </w:p>
        </w:tc>
      </w:tr>
      <w:tr w:rsidR="003F3B71">
        <w:trPr>
          <w:cantSplit/>
          <w:trHeight w:val="2740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Планування представлення презентації та виступ перед аудиторією. Проєкт «През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ентація на задану тему»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spacing w:after="16" w:line="26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Планування представлення презентації та виступ з нею перед аудиторією. Обґрунтований вибір та реалізація естетичного оформлення слайдів. </w:t>
            </w:r>
          </w:p>
          <w:p w:rsidR="003F3B71" w:rsidRDefault="00ED3A74">
            <w:pPr>
              <w:spacing w:after="16" w:line="265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презентацій за наданими критеріями. Укладання списку джерел для дотримання авторських прав щодо об’єктів,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икористаних презентації.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71" w:rsidRDefault="00ED3A74">
            <w:pPr>
              <w:spacing w:after="22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програмне забезпечення для простих розрахунків і візуалізації результатів</w:t>
            </w:r>
          </w:p>
          <w:p w:rsidR="003F3B71" w:rsidRDefault="00ED3A74">
            <w:pPr>
              <w:spacing w:after="22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Зазначає джерела, використані у своїх роботах.</w:t>
            </w:r>
          </w:p>
          <w:p w:rsidR="003F3B71" w:rsidRDefault="003F3B71">
            <w:pPr>
              <w:spacing w:after="22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2" w:line="25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Визначає формат і обсяг даних, потрібних для розв’язання задачі, підтвердження чи спростування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верджень.</w:t>
            </w:r>
          </w:p>
          <w:p w:rsidR="003F3B71" w:rsidRDefault="003F3B71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tabs>
          <w:tab w:val="left" w:pos="3768"/>
        </w:tabs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Style w:val="a0"/>
        <w:tblpPr w:leftFromText="180" w:rightFromText="180" w:vertAnchor="page" w:horzAnchor="margin" w:tblpX="-289"/>
        <w:tblW w:w="15361" w:type="dxa"/>
        <w:tblLayout w:type="fixed"/>
        <w:tblLook w:val="0400"/>
      </w:tblPr>
      <w:tblGrid>
        <w:gridCol w:w="1467"/>
        <w:gridCol w:w="2179"/>
        <w:gridCol w:w="2533"/>
        <w:gridCol w:w="5072"/>
        <w:gridCol w:w="4110"/>
      </w:tblGrid>
      <w:tr w:rsidR="003F3B71">
        <w:trPr>
          <w:cantSplit/>
          <w:trHeight w:val="976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Номер теми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Блок, тема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Змістові лінії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Діяльність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3F3B71" w:rsidRDefault="00ED3A74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Очікувані результати </w:t>
            </w:r>
          </w:p>
        </w:tc>
      </w:tr>
      <w:tr w:rsidR="003F3B71">
        <w:trPr>
          <w:cantSplit/>
          <w:trHeight w:val="518"/>
          <w:tblHeader/>
        </w:trPr>
        <w:tc>
          <w:tcPr>
            <w:tcW w:w="15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Тема 2. Інформаційні системи та мережі</w:t>
            </w:r>
          </w:p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(4 год, якщо тижневе навантаження 1 година)</w:t>
            </w:r>
          </w:p>
        </w:tc>
      </w:tr>
      <w:tr w:rsidR="003F3B71">
        <w:trPr>
          <w:cantSplit/>
          <w:trHeight w:val="3046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 системи. Апаратна і програмна складові інформаційної системи, їх взаємодія. Види програмного забезпечення. Прикладне програмне забезпечення. Поняття про ліцензії на програмне забезпечення.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Побудова моделі простої інформаційної системи, пояснення її складових, призначення та функціонування. Пояснення взаємодії апаратної та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грамної складової інформаційної системи. </w:t>
            </w:r>
          </w:p>
          <w:p w:rsidR="003F3B71" w:rsidRDefault="003F3B71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Налаштування цифрових пристроїв під потребу. Виділення груп програмних засобів, пояснення їх призначення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поширення цифрових інновацій у громаді, суспільстві, застосування їх для навчання, комунік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ації і творчості.</w:t>
            </w:r>
          </w:p>
          <w:p w:rsidR="003F3B71" w:rsidRDefault="003F3B71">
            <w:pPr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Описує взаємозв’язок програмного забезпечення комп’ютера з апаратною складовою. Моделює роботу простої інформаційної системи. Наводить приклади наслідків/ризиків встановлення і використання програмного забезпечення.</w:t>
            </w:r>
          </w:p>
        </w:tc>
      </w:tr>
      <w:tr w:rsidR="003F3B71">
        <w:trPr>
          <w:cantSplit/>
          <w:trHeight w:val="221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Глобальна мережа Інтернет та її сервіси. Хмарні сервіси для зберігання даних. Рівні й способи доступу. Колективна робота з документами в Інтернеті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ої”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Порівняння видів дозволів на використання програмного забезпечення та аргументація необхідності їх дотримання, а також наслідків порушення.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Наведення прикладів організації доступу до Інтернету. Наведенн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прикладів онлайн-сервісів та ситуацій їх використання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Наводить приклади онлайн-сервісів та їх можливостей.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онлайн-ресурси для навчання, задоволення власних інтересів чи участі в суспільній діяльності.</w:t>
            </w:r>
          </w:p>
        </w:tc>
      </w:tr>
      <w:tr w:rsidR="003F3B71">
        <w:trPr>
          <w:cantSplit/>
          <w:trHeight w:val="551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Інтернет-ресурси для навчання, розвитку та відпочинку.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Самостійне ознайомлення з різними онлайн сервісами (календарі, карти, фотоальбоми, новини тощо). Збереження даних в хмарних сховищах. </w:t>
            </w:r>
          </w:p>
          <w:p w:rsidR="003F3B71" w:rsidRDefault="003F3B71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Налаштування доступу до об'єктів в хмарному середовищі для спільного використання.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line="267" w:lineRule="auto"/>
              <w:ind w:firstLine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Наводить приклади поширення цифрових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інновацій у громаді, суспільстві, застосування їх для навчання, комунікації і творчості.</w:t>
            </w:r>
          </w:p>
          <w:p w:rsidR="003F3B71" w:rsidRDefault="00ED3A74">
            <w:pPr>
              <w:spacing w:line="267" w:lineRule="auto"/>
              <w:ind w:firstLine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переваги конструктивної співпраці.</w:t>
            </w:r>
          </w:p>
          <w:p w:rsidR="003F3B71" w:rsidRDefault="00ED3A74">
            <w:pPr>
              <w:spacing w:line="267" w:lineRule="auto"/>
              <w:ind w:firstLine="395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підвищення доступності цифрових пристроїв для різних категорій користувачів і пропонує за потреб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ці рішення. Розрізняє інформаційне “сміття” цифрового і нецифрового формату.</w:t>
            </w:r>
          </w:p>
        </w:tc>
      </w:tr>
      <w:tr w:rsidR="003F3B71">
        <w:trPr>
          <w:cantSplit/>
          <w:trHeight w:val="221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перекладачі. Поняття Інтернет речей.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Пошук в Інтернеті аудіо і відео інформації для перегляду та прослуховування, для відпочинку, навчання та розвитку</w:t>
            </w:r>
          </w:p>
          <w:p w:rsidR="003F3B71" w:rsidRDefault="003F3B71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онлайн ресурсів для здійснення дистанційного навчання, самоосвіти. Переклад текстів з використанн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 онлайн перекладачів (рідною, державною, іноземними мовами). </w:t>
            </w:r>
          </w:p>
          <w:p w:rsidR="003F3B71" w:rsidRDefault="003F3B71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Пояснення основних принципів функціонування та складових Інтернету речей. Складання схем функціонування та моделей розумних пристроїв, в тому числі і з використанням елементів робототехніки.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переваги конструктивної співпраці.</w:t>
            </w:r>
          </w:p>
          <w:p w:rsidR="003F3B71" w:rsidRDefault="00ED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7" w:lineRule="auto"/>
              <w:ind w:right="307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підвищення доступності цифрових пристроїв для різних категорій користувачів і пропонує за потреби ці рішення. Розрізняє інформаційне “сміття” цифрового і нецифрового формату.</w:t>
            </w:r>
          </w:p>
        </w:tc>
      </w:tr>
    </w:tbl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Style w:val="a1"/>
        <w:tblpPr w:leftFromText="180" w:rightFromText="180" w:vertAnchor="page" w:horzAnchor="margin" w:tblpX="-289"/>
        <w:tblW w:w="15361" w:type="dxa"/>
        <w:tblLayout w:type="fixed"/>
        <w:tblLook w:val="0400"/>
      </w:tblPr>
      <w:tblGrid>
        <w:gridCol w:w="1467"/>
        <w:gridCol w:w="2179"/>
        <w:gridCol w:w="2533"/>
        <w:gridCol w:w="5072"/>
        <w:gridCol w:w="4110"/>
      </w:tblGrid>
      <w:tr w:rsidR="003F3B71">
        <w:trPr>
          <w:cantSplit/>
          <w:trHeight w:val="1401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F3B71" w:rsidRDefault="00ED3A7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Номер теми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F3B71" w:rsidRDefault="00ED3A74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Блок, тема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F3B71" w:rsidRDefault="00ED3A74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Змістові лінії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F3B71" w:rsidRDefault="00ED3A74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Діяльність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3F3B71" w:rsidRDefault="00ED3A74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Очікувані результати </w:t>
            </w:r>
          </w:p>
        </w:tc>
      </w:tr>
      <w:tr w:rsidR="003F3B71">
        <w:trPr>
          <w:cantSplit/>
          <w:trHeight w:val="518"/>
          <w:tblHeader/>
        </w:trPr>
        <w:tc>
          <w:tcPr>
            <w:tcW w:w="15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jc w:val="center"/>
            </w:pPr>
            <w:r>
              <w:rPr>
                <w:b/>
              </w:rPr>
              <w:t xml:space="preserve">Тема 3. </w:t>
            </w:r>
            <w:r>
              <w:t>Спілкування в Інтернеті</w:t>
            </w:r>
          </w:p>
          <w:p w:rsidR="003F3B71" w:rsidRDefault="00ED3A74">
            <w:pPr>
              <w:jc w:val="center"/>
            </w:pPr>
            <w:r>
              <w:rPr>
                <w:b/>
              </w:rPr>
              <w:t>(8 год, якщо тижневе навантаження 1 година)</w:t>
            </w:r>
          </w:p>
        </w:tc>
      </w:tr>
      <w:tr w:rsidR="003F3B71">
        <w:trPr>
          <w:cantSplit/>
          <w:trHeight w:val="3046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Поштові служби Інтернету. Створення електронної скриньки. Надсилання  повідомлень.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містова лінія “Безпека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Пояснення принципів функціонування служб електронної пошти. Пояснення небезпек, пов’язаних з використанням електронної пошти. </w:t>
            </w:r>
          </w:p>
          <w:p w:rsidR="003F3B71" w:rsidRDefault="003F3B71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поштової скриньки. Створення та використання адресної книги та списку розсилки.</w:t>
            </w:r>
          </w:p>
          <w:p w:rsidR="003F3B71" w:rsidRDefault="003F3B71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Спільне формулювання правил електронного листування.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Перевірка правопису.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повідомлення на доступних ресурсах, додержуючи правил і враховуючи соціальні, культурні та інші особливості учасників онлайн комунікації. Цікавиться новинками засобів і способів комунікації, розповідає про них.</w:t>
            </w:r>
          </w:p>
          <w:p w:rsidR="003F3B71" w:rsidRDefault="003F3B71">
            <w:pPr>
              <w:ind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Розпізнає небезпечні/ конфліктні сит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уації під час онлайн-спілкування (зокрема внаслідок негативних чи зневажливих дописів), знає, до кого звернутися за допомогою у разі їх виникнення.</w:t>
            </w:r>
          </w:p>
        </w:tc>
      </w:tr>
      <w:tr w:rsidR="003F3B71">
        <w:trPr>
          <w:cantSplit/>
          <w:trHeight w:val="221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Надсилання, отримання, перенаправлення повідомлень. Пересилання файлів.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“Безпека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та використання поштової скриньки.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та використання адресної книги та списку розсилки. 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Спільне формулювання правил електронного листування.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повідомлення на доступних ресурсах, додержуючи правил і враховуючи соціальні, культурні та інші особливості учасників онлайн комунікації. Цікавиться новинками засобів і способів комунікації, розповідає про них.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Розпізнає небезпечні/ конфліктні сит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уації під час онлайн-спілкування (зокрема внаслідок негативних чи зневажливих дописів), знає, до кого звернутися за допомогою у разі їх виникнення.</w:t>
            </w:r>
          </w:p>
        </w:tc>
      </w:tr>
      <w:tr w:rsidR="003F3B71">
        <w:trPr>
          <w:cantSplit/>
          <w:trHeight w:val="69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Використання адресної книги та списків розсилки.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“Безпека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та використання поштової скриньки. </w:t>
            </w:r>
          </w:p>
          <w:p w:rsidR="003F3B71" w:rsidRDefault="003F3B71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та використання адресної книги та списку розсилки. Спільне формулювання правил електронного листування.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34" w:line="24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повідомлення на доступних ресурсах, додержуючи правил і враховуючи соціальні, культурні та інші особливості учасників онлайн комунікації. Цікавиться новинками засобів і способів комунікації, розповідає про них.</w:t>
            </w:r>
          </w:p>
          <w:p w:rsidR="003F3B71" w:rsidRDefault="003F3B71">
            <w:pPr>
              <w:spacing w:after="34" w:line="24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34" w:line="248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Розпізнає небезпечні/ конфліктні сит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уації під час онлайн-спілкування (зокрема внаслідок негативних чи зневажливих дописів), знає, до кого звернутися за допомогою у разі їх виникнення.</w:t>
            </w:r>
          </w:p>
        </w:tc>
      </w:tr>
      <w:tr w:rsidR="003F3B71">
        <w:trPr>
          <w:cantSplit/>
          <w:trHeight w:val="221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Етикет електронного листування скринькою. Основні ознаки спаму й фішингу.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“Безпека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Узгодження правил безпечного та відповідального спілкування та поведінки в Інтернеті. </w:t>
            </w:r>
          </w:p>
          <w:p w:rsidR="003F3B71" w:rsidRDefault="003F3B71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Розпізнавання різних видів небезпек та загроз в Інтернеті.</w:t>
            </w:r>
          </w:p>
          <w:p w:rsidR="003F3B71" w:rsidRDefault="003F3B71">
            <w:pPr>
              <w:spacing w:after="2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Наведення прикладів заходів для захисту персональних даних.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Пропонує і дотримується правил взаємодії і прийняття спільних рішень під час створення колективного проєкту.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Розпізнає небезпечні/ конфліктні ситуації під час онлайн-спілкування (зокрема внаслідок негативних чи зневажливих дописів), знає, до кого звернутися за допомогою у разі їх виникнення.</w:t>
            </w:r>
          </w:p>
        </w:tc>
      </w:tr>
      <w:tr w:rsidR="003F3B71">
        <w:trPr>
          <w:cantSplit/>
          <w:trHeight w:val="979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 спілкування в Інтернеті. Месенджери. Соціальні мережі. Форуми. Чати. Веб конференції. Правила онлайн спілкування.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“Безпека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15" w:line="265" w:lineRule="auto"/>
              <w:ind w:righ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Відстеження власного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цифрового “сліду”. Визначення та обговорення особливостей різних видів спілкування в Інтернеті (профілі, групи, коментарі та реакцій тощо). </w:t>
            </w:r>
          </w:p>
          <w:p w:rsidR="003F3B71" w:rsidRDefault="003F3B71">
            <w:pPr>
              <w:spacing w:after="15" w:line="265" w:lineRule="auto"/>
              <w:ind w:righ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5" w:line="265" w:lineRule="auto"/>
              <w:ind w:righ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повідомлень та коментарів на різних веб-ресурсах з дотриманням етичних,  міжкультурних і правових норм 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нформаційної взаємодії рідною, державною, іноземною мовами. </w:t>
            </w:r>
          </w:p>
          <w:p w:rsidR="003F3B71" w:rsidRDefault="003F3B71">
            <w:pPr>
              <w:spacing w:after="15" w:line="265" w:lineRule="auto"/>
              <w:ind w:righ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5" w:line="265" w:lineRule="auto"/>
              <w:ind w:right="83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Узгодження правил безпечного та відповідального спілкування та поведінки в Інтернеті. Розпізнавання різних видів небезпек та загроз в Інтернеті.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34" w:line="24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Пропонує і дотримується правил взаємодії і прийня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ття спільних рішень під час створення колективного проєкту.</w:t>
            </w:r>
          </w:p>
          <w:p w:rsidR="003F3B71" w:rsidRDefault="003F3B71">
            <w:pPr>
              <w:spacing w:after="34" w:line="24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34" w:line="248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Обирає актуальні і безпечні засоби і способи комунікації для себе і пропонує їх іншим особам. Пояснює переваги і недоліки цифрової комунікації.</w:t>
            </w:r>
          </w:p>
        </w:tc>
      </w:tr>
      <w:tr w:rsidR="003F3B71">
        <w:trPr>
          <w:cantSplit/>
          <w:trHeight w:val="69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небезпек і загроз в Інтернеті.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містова лінія “Безпека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ознак Інтернет-залежності у себе та знайомих, способів подолання та уникнення. </w:t>
            </w:r>
          </w:p>
          <w:p w:rsidR="003F3B71" w:rsidRDefault="003F3B71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групового проєкту з питань загроз в Інт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ернеті, кібербезпеки, захисту цифрового середовища (лепбуків, плакатів, коміксів, анімацій, програмних проєктів тощо).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важливість балансу між екранним часом і власним добробутом. Види спілкування в Інтернеті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Етикет електронного листування. Правила безпечного користування електронною Пояснення принципів функціонування служб електронної пошти. Пояснення небезпек, пов’язаних з використанням електронної пошти.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Відстеження власного цифрового “сліду”. Визначення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обговорення особливостей різних видів спілкування в Інтернеті (профілі, групи, коментарі та реакцій тощо). Створення повідомлень та коментарів на різних веб-ресурсах з дотриманням етичних, Наводить приклади і застосовує заходи безпеки та захисту особисто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інформаційного простору, пристроїв і даних.</w:t>
            </w:r>
          </w:p>
        </w:tc>
      </w:tr>
      <w:tr w:rsidR="003F3B71">
        <w:trPr>
          <w:cantSplit/>
          <w:trHeight w:val="221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Персональні та конфіденційні дані. Захист особистого цифрового простору. Інтернет-залежність. Цифрова гігієна.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“Безпека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ознак Інтернет-залежності у себе та знайомих, способів подолання та уникнення. Виконання групового проєкту з питань загроз в Інтернеті, кібербезпеки, захисту цифрового середовища (лепбуків, плакатів, коміксів, анімацій, програмних проєктів тощо)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Пропонує і дотримується правил взаємодії і прийняття спільних рішень під час створення колективного проєкту.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Обирає актуальні і безпечні засоби і способи комунікації для себе і пропонує їх іншим особам. Пояснює переваги і недоліки цифрової комунікації.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і використовує надійні паролі. Не розголошує конфіденційні дані про себе та інших осіб. Пояснює, що таке “цифровий слід” та онлайн-репутація, відповідально формує їх у себе.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правила етикету спілкування у цифрових мережах і дотримується їх.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Розпізнає небезпечні віртуальні спільноти і не бере участі в них. Розпізнає небезпечні/ конфліктні ситуації під час онлайн-спілкування (зокрема внаслідок негативних чи зневажливих дописів), знає, до кого звернутися за допомогою у разі їх виникнення.</w:t>
            </w:r>
          </w:p>
        </w:tc>
      </w:tr>
      <w:tr w:rsidR="003F3B71">
        <w:trPr>
          <w:cantSplit/>
          <w:trHeight w:val="2218"/>
          <w:tblHeader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иконання та представлення групового проєкту з питань загроз в Інтернеті, кібербезпеки, захисту  цифрового середовища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3F3B7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“Безпека та відповідальність”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Узгодження правил безпечного та відповідального спілкування та поведінки в Інтернеті. </w:t>
            </w:r>
          </w:p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Розпізнавання різних видів небезпек та загроз в Інтернеті. </w:t>
            </w:r>
          </w:p>
          <w:p w:rsidR="003F3B71" w:rsidRDefault="00ED3A74">
            <w:pPr>
              <w:spacing w:after="15" w:line="265" w:lineRule="auto"/>
              <w:ind w:right="1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Наведення прикладів заходів для захисту персональних даних.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Пропонує і дотримується правил взаємодії і прийня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ття спільних рішень під час створення колективного проєкту.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Обирає актуальні і безпечні засоби і способи комунікації для себе і пропонує їх іншим особам. Пояснює переваги і недоліки цифрової комунікації.</w:t>
            </w:r>
          </w:p>
        </w:tc>
      </w:tr>
    </w:tbl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tbl>
      <w:tblPr>
        <w:tblStyle w:val="a2"/>
        <w:tblW w:w="15128" w:type="dxa"/>
        <w:tblInd w:w="-108" w:type="dxa"/>
        <w:tblLayout w:type="fixed"/>
        <w:tblLook w:val="0400"/>
      </w:tblPr>
      <w:tblGrid>
        <w:gridCol w:w="1177"/>
        <w:gridCol w:w="2179"/>
        <w:gridCol w:w="2533"/>
        <w:gridCol w:w="4703"/>
        <w:gridCol w:w="4479"/>
        <w:gridCol w:w="57"/>
      </w:tblGrid>
      <w:tr w:rsidR="003F3B71">
        <w:trPr>
          <w:cantSplit/>
          <w:trHeight w:val="519"/>
          <w:tblHeader/>
        </w:trPr>
        <w:tc>
          <w:tcPr>
            <w:tcW w:w="15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Тема 4. Алгоритми та програми. Ігрові проєкти</w:t>
            </w:r>
          </w:p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(12 год, якщо тижневе навантаження 1 година)</w:t>
            </w:r>
          </w:p>
        </w:tc>
      </w:tr>
      <w:tr w:rsidR="003F3B71">
        <w:trPr>
          <w:cantSplit/>
          <w:trHeight w:val="562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 xml:space="preserve">Номер теми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Блок, тема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Запитання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Діяльність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Очікувані результати </w:t>
            </w:r>
          </w:p>
        </w:tc>
      </w:tr>
      <w:tr w:rsidR="003F3B71">
        <w:trPr>
          <w:cantSplit/>
          <w:trHeight w:val="2773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Поняття про програмний об’єкт у програмуванні. Властивості об’єкта. Створення програмних об’єктів.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 інформаційної взаємодії об’єктів у контексті розв’язання конкретної задачі.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Розкладання задачі на підзадачі (здійснення декомпозиції задачі).</w:t>
            </w: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Визначення властивостей програмних об’єктів, перелічування можливих значень цих властивостей.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Розрізняє та пояснює інформаційні процеси в навколишньому середовищі в контексті розв’язання конкретних задач.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Обирає та застосовує цифрові інструменти для збирання чи отримання даних.</w:t>
            </w:r>
          </w:p>
        </w:tc>
      </w:tr>
      <w:tr w:rsidR="003F3B71">
        <w:trPr>
          <w:cantSplit/>
          <w:trHeight w:val="2105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Поняття події. Види подій.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 інформаційної взаємодії об’єктів у контексті розв’язання конкретної задачі. Розкладання задачі на підзадачі (здійснення декомпозиції задачі). Визначення властивостей програмних об’єктів, перелічування можливих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начень цих властивостей.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Програмування опрацювання подій. Створення програмних проєктів з обробкою даних, зібраних чи отриманих з допомогою цифрових пристроїв.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Розрізняє та пояснює інформаційні процеси в навколишньому середовищі в контексті розв’язання конкретних задач. </w:t>
            </w:r>
          </w:p>
          <w:p w:rsidR="003F3B71" w:rsidRDefault="003F3B71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Обирає та застосовує цифрові інструменти для збирання чи отримання даних. Пропонує способи перевірки коректності алгоритму та використовує їх. </w:t>
            </w:r>
          </w:p>
          <w:p w:rsidR="003F3B71" w:rsidRDefault="003F3B71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Пропонує власні способи перевірки правильності роботи проєкту. Докладає зусиль і виявляє гнучкість, використовуючи доступні ресурси і стратегії для подолання перешкод і розв’язання проблем під час реалізації програмних проєктів.</w:t>
            </w:r>
          </w:p>
        </w:tc>
      </w:tr>
      <w:tr w:rsidR="003F3B71">
        <w:trPr>
          <w:cantSplit/>
          <w:trHeight w:val="2773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Програмне опрацюва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ння події. Змінювання значень властивостей об’єкта в програмі. Проєкт №1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програмних проєктів з додаванням об’єктів. Змінювання значень властивостей об’єктів у програмі.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Застосування вкладених алгоритмічних структур повторення та розгалуження. Визначення власних способів перевірки правильності роботи програмного проєкту.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Перевірка результату виконання програми на відповідність гіпотезі/прогнозу.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24" w:line="258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Розрізняє та пояснює інформаційні процеси в навколишньому середовищі в контексті розв’язання конкретних задач. Обирає та застосовує цифрові інструменти для збирання чи отримання даних.</w:t>
            </w:r>
          </w:p>
          <w:p w:rsidR="003F3B71" w:rsidRDefault="003F3B71">
            <w:pPr>
              <w:spacing w:after="24" w:line="258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4" w:line="258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Пропонує способи перевірки коректності алгоритму та використовує їх.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Пропонує власні способи перевірки правильності роботи проєкту. </w:t>
            </w:r>
          </w:p>
          <w:p w:rsidR="003F3B71" w:rsidRDefault="003F3B71">
            <w:pPr>
              <w:spacing w:after="24" w:line="258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24" w:line="258" w:lineRule="auto"/>
              <w:ind w:right="9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Докладає зусиль і виявляє гнучкість, використовуючи доступні ресурси і стратегії для подолання перешкод і розв’язання проблем під час реалізації програмних проєктів.</w:t>
            </w:r>
          </w:p>
        </w:tc>
      </w:tr>
      <w:tr w:rsidR="003F3B71">
        <w:trPr>
          <w:gridAfter w:val="1"/>
          <w:wAfter w:w="57" w:type="dxa"/>
          <w:cantSplit/>
          <w:trHeight w:val="56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21-23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Вкладені алгоритмічні структури повторення та розгалуження. Проєкт №2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програмних проєктів з ігровим сюжетом з поєднанням базових структур алгоритмів.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відповідності обраного алгоритму поставленій задачі.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Обирає властивості об’єктів, що є істотними для розв’язання задачі, і визначає їх допустимі значення. </w:t>
            </w:r>
          </w:p>
          <w:p w:rsidR="003F3B71" w:rsidRDefault="003F3B71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Робить висновки, наскільки отримані результати експерименту з моделлю відповідають гіпо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тезі/прогнозу.</w:t>
            </w:r>
          </w:p>
          <w:p w:rsidR="003F3B71" w:rsidRDefault="003F3B71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9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Прогнозує зміну результату роботи проєкту внаслідок внесення змін до нього.</w:t>
            </w:r>
          </w:p>
        </w:tc>
      </w:tr>
      <w:tr w:rsidR="003F3B71">
        <w:trPr>
          <w:gridAfter w:val="1"/>
          <w:wAfter w:w="57" w:type="dxa"/>
          <w:cantSplit/>
          <w:trHeight w:val="3046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24-26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ind w:right="55" w:firstLine="3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програмних проєктів з ігровим сюжетом з поєднанням базових структур алгоритмів.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відповідності обраного алгоритму поставленій задачі.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Прогнозує зміну результату роботи проєкту внаслідок внесення змін до нього. Складає списо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підзадач для розв’язання великої або складної задачі. </w:t>
            </w:r>
          </w:p>
          <w:p w:rsidR="003F3B71" w:rsidRDefault="003F3B71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Визначає функціонал окремих частин проєкту. Складає проєкт з розв’язання окремих підзадач. Узгоджує взаємодію окремих підзадач у модульному проєкті. </w:t>
            </w:r>
          </w:p>
          <w:p w:rsidR="003F3B71" w:rsidRDefault="003F3B71">
            <w:pPr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ind w:right="9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Надає доброзичливі і конструктивні поради щодо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вдосконалення процесу та/чи результату спільної роботи</w:t>
            </w:r>
          </w:p>
        </w:tc>
      </w:tr>
      <w:tr w:rsidR="003F3B71">
        <w:trPr>
          <w:gridAfter w:val="1"/>
          <w:wAfter w:w="57" w:type="dxa"/>
          <w:cantSplit/>
          <w:trHeight w:val="288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ind w:left="3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програмних проєктів з ігровим сюжетом з поєднанням базових структур алгоритмів.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відповідності обраного алгоритму поставленій задачі.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список підзадач для розв’язання великої або складної задачі. Визначає функціонал окремих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тин проєкту.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Складає проєкт з розв’язання окремих підзадач. Узгоджує взаємодію окремих підзадач у модульному проєкті.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Надає доброзичливі і конструктивні поради щодо вдосконалення процесу та/чи результату спільної роботи</w:t>
            </w:r>
          </w:p>
        </w:tc>
      </w:tr>
      <w:tr w:rsidR="003F3B71">
        <w:trPr>
          <w:gridAfter w:val="1"/>
          <w:wAfter w:w="57" w:type="dxa"/>
          <w:cantSplit/>
          <w:trHeight w:val="288"/>
          <w:tblHeader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29-31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Створення програмних проєктів з ігровим сюжетом з поєднанням базових структур алгоритмів.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відповідності обраного алгоритму поставленій задачі.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49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список підзадач для розв’язання великої або складної задачі. Визначає функціонал окремих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тин проєкту.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Складає проєкт з розв’язання окремих підзадач. Узгоджує взаємодію окремих підзадач у модульному проєкті.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Надає доброзичливі і конструктивні поради щодо вдосконалення процесу та/чи результату спільної роботи</w:t>
            </w:r>
          </w:p>
        </w:tc>
      </w:tr>
    </w:tbl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3F3B71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3F3B71" w:rsidRDefault="00ED3A74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tbl>
      <w:tblPr>
        <w:tblStyle w:val="a3"/>
        <w:tblW w:w="15129" w:type="dxa"/>
        <w:tblInd w:w="-108" w:type="dxa"/>
        <w:tblLayout w:type="fixed"/>
        <w:tblLook w:val="0400"/>
      </w:tblPr>
      <w:tblGrid>
        <w:gridCol w:w="1172"/>
        <w:gridCol w:w="2315"/>
        <w:gridCol w:w="2508"/>
        <w:gridCol w:w="4654"/>
        <w:gridCol w:w="4480"/>
      </w:tblGrid>
      <w:tr w:rsidR="003F3B71">
        <w:trPr>
          <w:cantSplit/>
          <w:trHeight w:val="519"/>
          <w:tblHeader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Тема 5. Інформаційна мозаїка</w:t>
            </w:r>
          </w:p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(4 год, якщо тижневе навантаження 1 година)</w:t>
            </w:r>
          </w:p>
        </w:tc>
      </w:tr>
      <w:tr w:rsidR="003F3B71">
        <w:trPr>
          <w:cantSplit/>
          <w:trHeight w:val="562"/>
          <w:tblHeader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Номер теми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Блок, тема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Запитання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Діяльність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  <w:vAlign w:val="center"/>
          </w:tcPr>
          <w:p w:rsidR="003F3B71" w:rsidRDefault="00ED3A74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Очікувані результати </w:t>
            </w:r>
          </w:p>
        </w:tc>
      </w:tr>
      <w:tr w:rsidR="003F3B71">
        <w:trPr>
          <w:cantSplit/>
          <w:trHeight w:val="2773"/>
          <w:tblHeader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Інформація, дані, повідомлення. Види інформації, способи подання, форми представлення. Перетворення видів та форм представлення інформації. Поняття про кодування інформації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Змістова лінія “Інформація. Дані. Моделі”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ва лінія “Цифрові пристрої”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Змістова лінія “Безпека та відповідальність”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Побудова схеми взаємозв’язків між поняттями інформація, повідомлення, дані, інформаційна система, інформаційний процес.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Порівняння способів подання повідомлень: текстовий, графічний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звуковий, відео, умовні жести та сигнали, комбінований. Порівняння повідомлень, поданих різними способами.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Перетворення повідомлень із застосуванням різних способів подання та форм представлення інформації. Кодування та декодування інформації за заданим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правилами.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Розпізнає дані різних типів і наводить їх приклади.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Оцінює істотність/ важливість/ необхідність/ адекватність інформації в контексті розв’язання </w:t>
            </w:r>
          </w:p>
          <w:p w:rsidR="003F3B71" w:rsidRDefault="003F3B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Формулює власні потреби і вимоги до цифрових інструментів і можливих технологічних рішень.</w:t>
            </w:r>
          </w:p>
        </w:tc>
      </w:tr>
      <w:tr w:rsidR="003F3B71">
        <w:trPr>
          <w:cantSplit/>
          <w:trHeight w:val="2773"/>
          <w:tblHeader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 процеси та системи. Об'єкти, їх властивості та значення властивостей. Класифікації об'єктів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Змістова лінія “Інформація. Дані. Моделі”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Змістова лінія “Безпека та відповідальн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ість”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інформаційних процесів, що відбуваються при роботі з різними пристроями. Визначення властивостей об'єктів, а також об'єктів за заданими властивостями.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Здійснення класифікації об'єктів. Створення найпростіших моделей об'єктів та процесів, визначення істотних властивостей об'єктів та інформації, що є надлишковою для розв’язання задачі.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Встановлення причинно-наслідкових зв'язків, побудова висновків на їх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основі.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Розпізнає дані різних типів і наводить їх приклади. Оцінює істотність/ важливість/ необхідність/ адекватність інформації в контексті розв’язання </w:t>
            </w:r>
          </w:p>
          <w:p w:rsidR="003F3B71" w:rsidRDefault="003F3B71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Бере участь у спільному проєкті (онлайн та оф-лайн) із створення інформаційних продуктів для реалізації власних і суспільних інтересів. Формулює власні потреби і вимоги до цифрових інструментів і можливих технологічних рішень. </w:t>
            </w:r>
          </w:p>
          <w:p w:rsidR="003F3B71" w:rsidRDefault="003F3B71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важливість дотриман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 принципів академічної доброчесності та авторського права в інформаційній діяльності.</w:t>
            </w:r>
          </w:p>
        </w:tc>
      </w:tr>
      <w:tr w:rsidR="003F3B71">
        <w:trPr>
          <w:cantSplit/>
          <w:trHeight w:val="2773"/>
          <w:tblHeader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Інфографіка. Мультимедіа. Цифрова компетентність.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Змістова лінія “Інформація. Дані. Моделі”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стова лінія “Безпека та відповідальність”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потреби та збір чи отримання даних для підготовки інформаційних повідомлень.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Порівняння, аналіз, оцінювання та узагальнення даних, інформації, ідей та медіа-повідомлень для реалізації власних і суспільних інтересів.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Пропонування ідей, підходів, інструментів та дій в контексті розв’язання життєвої/навчальної проблеми.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Бере участь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спільному проєкті (онлайн та оф-лайн) із створення інформаційних продуктів для реалізації власних і суспільних інтересів. </w:t>
            </w:r>
          </w:p>
          <w:p w:rsidR="003F3B71" w:rsidRDefault="003F3B71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Описує власну діяльність і набутий досвід під час створення інформаційного продукту. Використовує дані різних типів (принаймні трь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 з наведених: текстові, графічні, числові, мультимедійні) для створення інформаційних продуктів </w:t>
            </w:r>
          </w:p>
          <w:p w:rsidR="003F3B71" w:rsidRDefault="003F3B71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Формулює власні потреби і вимоги до цифрових інструментів і можливих технологічних рішень. Пояснює важливість дотримання принципів академічної доброчесності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авторського права в інформаційній діяльності.</w:t>
            </w:r>
          </w:p>
        </w:tc>
      </w:tr>
      <w:tr w:rsidR="003F3B71">
        <w:trPr>
          <w:cantSplit/>
          <w:trHeight w:val="2773"/>
          <w:tblHeader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Узагальнення та систематизація знань за рік. Веб квест.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Змістова лінія “Інформація. Дані. Моделі”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3F3B71" w:rsidRDefault="00ED3A74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Змістова лінія “Безпека та відповідальність”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Візуалізація інформації з використанням різних засобів (діаграми, схеми, таблиці, карти знань тощо)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Інтерпретація, формулювання висновків, прийняття рішень на основі аналізу даних, представлених з використання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інфографіки. </w:t>
            </w:r>
          </w:p>
          <w:p w:rsidR="003F3B71" w:rsidRDefault="003F3B71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" w:line="276" w:lineRule="auto"/>
              <w:ind w:right="6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інформаційного продукту з поєднанням даних різних типів, в тому числі отриманих з різних джерел.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8" w:type="dxa"/>
            </w:tcMar>
          </w:tcPr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Формулює власні потреби і вимоги до цифрових інструментів і можливих технологічних рішень. </w:t>
            </w:r>
          </w:p>
          <w:p w:rsidR="003F3B71" w:rsidRDefault="003F3B71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B71" w:rsidRDefault="00ED3A74">
            <w:pPr>
              <w:spacing w:after="18" w:line="261" w:lineRule="auto"/>
              <w:ind w:right="44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важливість дотримання принципів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академічної доброчесності та авторського права в інформаційній діяльності.</w:t>
            </w:r>
          </w:p>
        </w:tc>
      </w:tr>
    </w:tbl>
    <w:p w:rsidR="003F3B71" w:rsidRDefault="003F3B71">
      <w:pPr>
        <w:rPr>
          <w:rFonts w:ascii="Times New Roman" w:eastAsia="Times New Roman" w:hAnsi="Times New Roman" w:cs="Times New Roman"/>
          <w:color w:val="0D0D0D"/>
          <w:sz w:val="24"/>
          <w:szCs w:val="24"/>
        </w:rPr>
        <w:sectPr w:rsidR="003F3B71">
          <w:footerReference w:type="even" r:id="rId11"/>
          <w:footerReference w:type="default" r:id="rId12"/>
          <w:footerReference w:type="first" r:id="rId13"/>
          <w:pgSz w:w="16838" w:h="11906" w:orient="landscape"/>
          <w:pgMar w:top="284" w:right="5952" w:bottom="1212" w:left="1418" w:header="720" w:footer="720" w:gutter="0"/>
          <w:cols w:space="720"/>
          <w:titlePg/>
        </w:sectPr>
      </w:pPr>
    </w:p>
    <w:p w:rsidR="003F3B71" w:rsidRDefault="003F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B71" w:rsidRDefault="00ED3A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Календарно-тематичне планування</w:t>
      </w:r>
    </w:p>
    <w:p w:rsidR="003F3B71" w:rsidRDefault="00ED3A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</w:t>
      </w:r>
    </w:p>
    <w:p w:rsidR="003F3B71" w:rsidRDefault="00ED3A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(1 год на тиждень)</w:t>
      </w:r>
    </w:p>
    <w:p w:rsidR="003F3B71" w:rsidRDefault="003F3B71">
      <w:pPr>
        <w:spacing w:after="0" w:line="240" w:lineRule="auto"/>
        <w:jc w:val="center"/>
        <w:rPr>
          <w:b/>
        </w:rPr>
      </w:pPr>
    </w:p>
    <w:tbl>
      <w:tblPr>
        <w:tblStyle w:val="a4"/>
        <w:tblW w:w="993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6379"/>
        <w:gridCol w:w="1418"/>
        <w:gridCol w:w="1573"/>
      </w:tblGrid>
      <w:tr w:rsidR="003F3B71">
        <w:trPr>
          <w:cantSplit/>
          <w:tblHeader/>
        </w:trPr>
        <w:tc>
          <w:tcPr>
            <w:tcW w:w="9932" w:type="dxa"/>
            <w:gridSpan w:val="4"/>
          </w:tcPr>
          <w:p w:rsidR="003F3B71" w:rsidRDefault="00ED3A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Тема 1. Презентації та анімації</w:t>
            </w:r>
          </w:p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</w:t>
            </w:r>
          </w:p>
        </w:tc>
        <w:tc>
          <w:tcPr>
            <w:tcW w:w="6379" w:type="dxa"/>
          </w:tcPr>
          <w:p w:rsidR="003F3B71" w:rsidRDefault="00ED3A74">
            <w:r>
              <w:t>Програмне забезпечення для створення й відтворення комп’ютерних презентацій. Етапи створення презентації та вимоги до її оформлення. Об’єкти презентації та засоби керування її демонстрацією. Типи слайдів.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</w:t>
            </w:r>
          </w:p>
        </w:tc>
        <w:tc>
          <w:tcPr>
            <w:tcW w:w="6379" w:type="dxa"/>
          </w:tcPr>
          <w:p w:rsidR="003F3B71" w:rsidRDefault="00ED3A74">
            <w:r>
              <w:t>Налаштування показу презентацій. Ефекти анімації, рух об’єктів в презентаціях. Різновиди та сфери застосування анімації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3</w:t>
            </w:r>
          </w:p>
        </w:tc>
        <w:tc>
          <w:tcPr>
            <w:tcW w:w="6379" w:type="dxa"/>
          </w:tcPr>
          <w:p w:rsidR="003F3B71" w:rsidRDefault="00ED3A74">
            <w:r>
              <w:t>Ефекти зміни слайдів. 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4</w:t>
            </w:r>
          </w:p>
        </w:tc>
        <w:tc>
          <w:tcPr>
            <w:tcW w:w="6379" w:type="dxa"/>
          </w:tcPr>
          <w:p w:rsidR="003F3B71" w:rsidRDefault="00ED3A74">
            <w:r>
              <w:t>Пла</w:t>
            </w:r>
            <w:r>
              <w:t>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9932" w:type="dxa"/>
            <w:gridSpan w:val="4"/>
          </w:tcPr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Тема 2. Інформаційні системи та мережі</w:t>
            </w:r>
          </w:p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5</w:t>
            </w:r>
          </w:p>
        </w:tc>
        <w:tc>
          <w:tcPr>
            <w:tcW w:w="6379" w:type="dxa"/>
          </w:tcPr>
          <w:p w:rsidR="003F3B71" w:rsidRDefault="00ED3A74">
            <w:r>
              <w:t>Інформаційні системи. Апаратна і програмна складові інформаційної системи, їх взаємодія. Види програмного забезпечення. Прикладне програмне забезпечення. Поняття про ліцензії на програмне забезпечення.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6</w:t>
            </w:r>
          </w:p>
        </w:tc>
        <w:tc>
          <w:tcPr>
            <w:tcW w:w="6379" w:type="dxa"/>
          </w:tcPr>
          <w:p w:rsidR="003F3B71" w:rsidRDefault="00ED3A74">
            <w:r>
              <w:t>Глобальна мережа Інтернет та її сервіси. Хмарні сервіси для зберігання даних. Рівні й способи доступу. Колективна робота з документами в Інтернеті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7</w:t>
            </w:r>
          </w:p>
        </w:tc>
        <w:tc>
          <w:tcPr>
            <w:tcW w:w="6379" w:type="dxa"/>
          </w:tcPr>
          <w:p w:rsidR="003F3B71" w:rsidRDefault="00ED3A74">
            <w:r>
              <w:t>Інтернет-ресурси для навчання, розвитку та відпочинку.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8</w:t>
            </w:r>
          </w:p>
        </w:tc>
        <w:tc>
          <w:tcPr>
            <w:tcW w:w="6379" w:type="dxa"/>
          </w:tcPr>
          <w:p w:rsidR="003F3B71" w:rsidRDefault="00ED3A74">
            <w:r>
              <w:t>Онлайн перекладачі. Поняття Інтернет речей.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9932" w:type="dxa"/>
            <w:gridSpan w:val="4"/>
          </w:tcPr>
          <w:p w:rsidR="003F3B71" w:rsidRDefault="00ED3A74">
            <w:pPr>
              <w:jc w:val="center"/>
            </w:pPr>
            <w:r>
              <w:rPr>
                <w:b/>
              </w:rPr>
              <w:t xml:space="preserve">Тема 3. </w:t>
            </w:r>
            <w:r>
              <w:t>Спілкування в Інтернеті</w:t>
            </w:r>
          </w:p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9</w:t>
            </w:r>
          </w:p>
        </w:tc>
        <w:tc>
          <w:tcPr>
            <w:tcW w:w="6379" w:type="dxa"/>
          </w:tcPr>
          <w:p w:rsidR="003F3B71" w:rsidRDefault="00ED3A74">
            <w:r>
              <w:t>Поштові служби Інтернету. Створення електронної скриньки. Надсилання  повідомлень.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10</w:t>
            </w:r>
          </w:p>
        </w:tc>
        <w:tc>
          <w:tcPr>
            <w:tcW w:w="6379" w:type="dxa"/>
          </w:tcPr>
          <w:p w:rsidR="003F3B71" w:rsidRDefault="00ED3A74">
            <w:r>
              <w:t>Надсилання, отримання, перенаправлення повідомлень. Пересилання файлів.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11</w:t>
            </w:r>
          </w:p>
        </w:tc>
        <w:tc>
          <w:tcPr>
            <w:tcW w:w="6379" w:type="dxa"/>
          </w:tcPr>
          <w:p w:rsidR="003F3B71" w:rsidRDefault="00ED3A74">
            <w:r>
              <w:t xml:space="preserve">Використання адресної книги та списків розсилки. 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12</w:t>
            </w:r>
          </w:p>
        </w:tc>
        <w:tc>
          <w:tcPr>
            <w:tcW w:w="6379" w:type="dxa"/>
          </w:tcPr>
          <w:p w:rsidR="003F3B71" w:rsidRDefault="00ED3A74">
            <w:r>
              <w:t>Етикет електронного листування скринькою. Основні ознаки спаму й фішингу.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13</w:t>
            </w:r>
          </w:p>
        </w:tc>
        <w:tc>
          <w:tcPr>
            <w:tcW w:w="6379" w:type="dxa"/>
          </w:tcPr>
          <w:p w:rsidR="003F3B71" w:rsidRDefault="00ED3A74">
            <w:r>
              <w:t>Види спілкування в Інтернеті. Месенджери. Соціальні мережі. Форуми. Чати. Вебконференції. Правила онлайн спілкування.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14</w:t>
            </w:r>
          </w:p>
        </w:tc>
        <w:tc>
          <w:tcPr>
            <w:tcW w:w="6379" w:type="dxa"/>
          </w:tcPr>
          <w:p w:rsidR="003F3B71" w:rsidRDefault="00ED3A74">
            <w:r>
              <w:t>Види небезпек і загроз в Інтернеті.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rHeight w:val="552"/>
          <w:tblHeader/>
        </w:trPr>
        <w:tc>
          <w:tcPr>
            <w:tcW w:w="562" w:type="dxa"/>
          </w:tcPr>
          <w:p w:rsidR="003F3B71" w:rsidRDefault="00ED3A74">
            <w:r>
              <w:lastRenderedPageBreak/>
              <w:t>15</w:t>
            </w:r>
          </w:p>
        </w:tc>
        <w:tc>
          <w:tcPr>
            <w:tcW w:w="6379" w:type="dxa"/>
          </w:tcPr>
          <w:p w:rsidR="003F3B71" w:rsidRDefault="00ED3A74">
            <w:pPr>
              <w:rPr>
                <w:b/>
              </w:rPr>
            </w:pPr>
            <w:r>
              <w:t xml:space="preserve">Персональні та конфіденційні дані. Захист особистого цифрового простору. Інтернет-залежність. Цифрова гігієна. 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16</w:t>
            </w:r>
          </w:p>
        </w:tc>
        <w:tc>
          <w:tcPr>
            <w:tcW w:w="6379" w:type="dxa"/>
          </w:tcPr>
          <w:p w:rsidR="003F3B71" w:rsidRDefault="00ED3A74">
            <w:pPr>
              <w:spacing w:line="276" w:lineRule="auto"/>
            </w:pPr>
            <w:r>
              <w:rPr>
                <w:rFonts w:ascii="Arial" w:eastAsia="Arial" w:hAnsi="Arial" w:cs="Arial"/>
              </w:rPr>
              <w:t>Виконання та представлення групового проєкту з питань загроз в Інтернеті, кібербезпеки, захисту  цифрового середовища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9932" w:type="dxa"/>
            <w:gridSpan w:val="4"/>
          </w:tcPr>
          <w:p w:rsidR="003F3B71" w:rsidRDefault="00ED3A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ІІ семестр</w:t>
            </w:r>
          </w:p>
        </w:tc>
      </w:tr>
      <w:tr w:rsidR="003F3B71">
        <w:trPr>
          <w:cantSplit/>
          <w:tblHeader/>
        </w:trPr>
        <w:tc>
          <w:tcPr>
            <w:tcW w:w="9932" w:type="dxa"/>
            <w:gridSpan w:val="4"/>
          </w:tcPr>
          <w:p w:rsidR="003F3B71" w:rsidRDefault="00ED3A74">
            <w:pPr>
              <w:jc w:val="center"/>
            </w:pPr>
            <w:r>
              <w:t>Тема 4. Алгоритми та програми. Ігрові проєкти</w:t>
            </w:r>
          </w:p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17</w:t>
            </w:r>
          </w:p>
        </w:tc>
        <w:tc>
          <w:tcPr>
            <w:tcW w:w="6379" w:type="dxa"/>
          </w:tcPr>
          <w:p w:rsidR="003F3B71" w:rsidRDefault="00ED3A74">
            <w:r>
              <w:t xml:space="preserve">Поняття про програмний об’єкт у програмуванні. Властивості об’єкта.Створення програмних об’єктів. 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18</w:t>
            </w:r>
          </w:p>
        </w:tc>
        <w:tc>
          <w:tcPr>
            <w:tcW w:w="6379" w:type="dxa"/>
          </w:tcPr>
          <w:p w:rsidR="003F3B71" w:rsidRDefault="00ED3A74">
            <w:r>
              <w:t>Поняття події. Види подій.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19</w:t>
            </w:r>
          </w:p>
        </w:tc>
        <w:tc>
          <w:tcPr>
            <w:tcW w:w="6379" w:type="dxa"/>
          </w:tcPr>
          <w:p w:rsidR="003F3B71" w:rsidRDefault="00ED3A74">
            <w: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20</w:t>
            </w:r>
          </w:p>
        </w:tc>
        <w:tc>
          <w:tcPr>
            <w:tcW w:w="6379" w:type="dxa"/>
          </w:tcPr>
          <w:p w:rsidR="003F3B71" w:rsidRDefault="00ED3A74">
            <w: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21</w:t>
            </w:r>
          </w:p>
        </w:tc>
        <w:tc>
          <w:tcPr>
            <w:tcW w:w="6379" w:type="dxa"/>
          </w:tcPr>
          <w:p w:rsidR="003F3B71" w:rsidRDefault="00ED3A74">
            <w:r>
              <w:t>Вкладені алгоритмічні структури повторення та розгалуження. Пр</w:t>
            </w:r>
            <w:r>
              <w:t>оєкт №2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22</w:t>
            </w:r>
          </w:p>
        </w:tc>
        <w:tc>
          <w:tcPr>
            <w:tcW w:w="6379" w:type="dxa"/>
          </w:tcPr>
          <w:p w:rsidR="003F3B71" w:rsidRDefault="00ED3A74">
            <w:r>
              <w:t>Вкладені алгоритмічні структури повторення та розгалуження. Проєкт №2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23</w:t>
            </w:r>
          </w:p>
        </w:tc>
        <w:tc>
          <w:tcPr>
            <w:tcW w:w="6379" w:type="dxa"/>
          </w:tcPr>
          <w:p w:rsidR="003F3B71" w:rsidRDefault="00ED3A74">
            <w:r>
              <w:t>Вкладені алгоритмічні структури повторення та розгалуження.  Проєкт №2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24</w:t>
            </w:r>
          </w:p>
        </w:tc>
        <w:tc>
          <w:tcPr>
            <w:tcW w:w="6379" w:type="dxa"/>
          </w:tcPr>
          <w:p w:rsidR="003F3B71" w:rsidRDefault="00ED3A74">
            <w: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25</w:t>
            </w:r>
          </w:p>
        </w:tc>
        <w:tc>
          <w:tcPr>
            <w:tcW w:w="6379" w:type="dxa"/>
          </w:tcPr>
          <w:p w:rsidR="003F3B71" w:rsidRDefault="00ED3A74">
            <w: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26</w:t>
            </w:r>
          </w:p>
        </w:tc>
        <w:tc>
          <w:tcPr>
            <w:tcW w:w="6379" w:type="dxa"/>
          </w:tcPr>
          <w:p w:rsidR="003F3B71" w:rsidRDefault="00ED3A74">
            <w: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rHeight w:val="567"/>
          <w:tblHeader/>
        </w:trPr>
        <w:tc>
          <w:tcPr>
            <w:tcW w:w="562" w:type="dxa"/>
          </w:tcPr>
          <w:p w:rsidR="003F3B71" w:rsidRDefault="00ED3A74">
            <w:r>
              <w:t>27</w:t>
            </w:r>
          </w:p>
        </w:tc>
        <w:tc>
          <w:tcPr>
            <w:tcW w:w="6379" w:type="dxa"/>
          </w:tcPr>
          <w:p w:rsidR="003F3B71" w:rsidRDefault="00ED3A74">
            <w: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28</w:t>
            </w:r>
          </w:p>
        </w:tc>
        <w:tc>
          <w:tcPr>
            <w:tcW w:w="6379" w:type="dxa"/>
          </w:tcPr>
          <w:p w:rsidR="003F3B71" w:rsidRDefault="00ED3A74">
            <w: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29</w:t>
            </w:r>
          </w:p>
        </w:tc>
        <w:tc>
          <w:tcPr>
            <w:tcW w:w="6379" w:type="dxa"/>
          </w:tcPr>
          <w:p w:rsidR="003F3B71" w:rsidRDefault="00ED3A74">
            <w: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30</w:t>
            </w:r>
          </w:p>
        </w:tc>
        <w:tc>
          <w:tcPr>
            <w:tcW w:w="6379" w:type="dxa"/>
          </w:tcPr>
          <w:p w:rsidR="003F3B71" w:rsidRDefault="00ED3A74">
            <w: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31</w:t>
            </w:r>
          </w:p>
        </w:tc>
        <w:tc>
          <w:tcPr>
            <w:tcW w:w="6379" w:type="dxa"/>
          </w:tcPr>
          <w:p w:rsidR="003F3B71" w:rsidRDefault="00ED3A74">
            <w:r>
              <w:t>Створення програмних п</w:t>
            </w:r>
            <w:r>
              <w:t>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9932" w:type="dxa"/>
            <w:gridSpan w:val="4"/>
          </w:tcPr>
          <w:p w:rsidR="003F3B71" w:rsidRDefault="00ED3A74">
            <w:pPr>
              <w:jc w:val="center"/>
              <w:rPr>
                <w:b/>
              </w:rPr>
            </w:pPr>
            <w:r>
              <w:rPr>
                <w:b/>
              </w:rPr>
              <w:t>Тема 5. Інформаційна мозаїка</w:t>
            </w:r>
          </w:p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lastRenderedPageBreak/>
              <w:t>32</w:t>
            </w:r>
          </w:p>
        </w:tc>
        <w:tc>
          <w:tcPr>
            <w:tcW w:w="6379" w:type="dxa"/>
          </w:tcPr>
          <w:p w:rsidR="003F3B71" w:rsidRDefault="00ED3A74">
            <w:r>
              <w:t>Інформація, дані, повідомлення. Види інформації, способи подання, форми представлення. Перетворення видів та форм представлення інформації. Поняття про кодування інформації.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33</w:t>
            </w:r>
          </w:p>
        </w:tc>
        <w:tc>
          <w:tcPr>
            <w:tcW w:w="6379" w:type="dxa"/>
          </w:tcPr>
          <w:p w:rsidR="003F3B71" w:rsidRDefault="00ED3A74">
            <w:r>
              <w:t>Інформаційні процеси та системи. Об'єкти, їх властивості та значення властив</w:t>
            </w:r>
            <w:r>
              <w:t>остей. Класифікації об'єктів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34</w:t>
            </w:r>
          </w:p>
        </w:tc>
        <w:tc>
          <w:tcPr>
            <w:tcW w:w="6379" w:type="dxa"/>
          </w:tcPr>
          <w:p w:rsidR="003F3B71" w:rsidRDefault="00ED3A74">
            <w:r>
              <w:t>Інфографіка. Мультимедіа.Цифрова компетентність.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  <w:tr w:rsidR="003F3B71">
        <w:trPr>
          <w:cantSplit/>
          <w:tblHeader/>
        </w:trPr>
        <w:tc>
          <w:tcPr>
            <w:tcW w:w="562" w:type="dxa"/>
          </w:tcPr>
          <w:p w:rsidR="003F3B71" w:rsidRDefault="00ED3A74">
            <w:r>
              <w:t>35</w:t>
            </w:r>
          </w:p>
        </w:tc>
        <w:tc>
          <w:tcPr>
            <w:tcW w:w="6379" w:type="dxa"/>
          </w:tcPr>
          <w:p w:rsidR="003F3B71" w:rsidRDefault="00ED3A74">
            <w:r>
              <w:t>Узагальнення та систематизація знань за рік. Веб квест.</w:t>
            </w:r>
          </w:p>
        </w:tc>
        <w:tc>
          <w:tcPr>
            <w:tcW w:w="1418" w:type="dxa"/>
          </w:tcPr>
          <w:p w:rsidR="003F3B71" w:rsidRDefault="003F3B71"/>
        </w:tc>
        <w:tc>
          <w:tcPr>
            <w:tcW w:w="1573" w:type="dxa"/>
          </w:tcPr>
          <w:p w:rsidR="003F3B71" w:rsidRDefault="003F3B71"/>
        </w:tc>
      </w:tr>
    </w:tbl>
    <w:p w:rsidR="003F3B71" w:rsidRDefault="003F3B71"/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3F3B71">
      <w:pPr>
        <w:spacing w:after="0"/>
        <w:jc w:val="both"/>
        <w:rPr>
          <w:sz w:val="24"/>
          <w:szCs w:val="24"/>
        </w:rPr>
      </w:pPr>
    </w:p>
    <w:p w:rsidR="003F3B71" w:rsidRDefault="00ED3A74">
      <w:pPr>
        <w:spacing w:after="0"/>
        <w:jc w:val="both"/>
      </w:pPr>
      <w:r>
        <w:rPr>
          <w:sz w:val="24"/>
          <w:szCs w:val="24"/>
        </w:rPr>
        <w:tab/>
        <w:t xml:space="preserve"> </w:t>
      </w:r>
    </w:p>
    <w:p w:rsidR="003F3B71" w:rsidRDefault="00ED3A74">
      <w:pPr>
        <w:pStyle w:val="Heading2"/>
        <w:spacing w:after="221"/>
        <w:ind w:right="0"/>
      </w:pPr>
      <w:r>
        <w:lastRenderedPageBreak/>
        <w:t>ІІІ. Перелік навчально-методичного і матеріально-технічного забезпечення навчального процесу</w:t>
      </w:r>
      <w:r>
        <w:rPr>
          <w:b w:val="0"/>
        </w:rPr>
        <w:t xml:space="preserve"> </w:t>
      </w:r>
    </w:p>
    <w:p w:rsidR="003F3B71" w:rsidRDefault="00ED3A74">
      <w:pPr>
        <w:numPr>
          <w:ilvl w:val="0"/>
          <w:numId w:val="3"/>
        </w:numPr>
        <w:spacing w:after="43" w:line="251" w:lineRule="auto"/>
        <w:ind w:left="800" w:hanging="35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Операційна система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3F3B71" w:rsidRDefault="00ED3A74">
      <w:pPr>
        <w:numPr>
          <w:ilvl w:val="0"/>
          <w:numId w:val="3"/>
        </w:numPr>
        <w:spacing w:after="43" w:line="251" w:lineRule="auto"/>
        <w:ind w:left="800" w:hanging="358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Браузер </w:t>
      </w:r>
    </w:p>
    <w:p w:rsidR="003F3B71" w:rsidRDefault="00ED3A74">
      <w:pPr>
        <w:numPr>
          <w:ilvl w:val="0"/>
          <w:numId w:val="3"/>
        </w:numPr>
        <w:spacing w:after="38"/>
        <w:ind w:left="800" w:hanging="358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Графічний редактор </w:t>
      </w:r>
    </w:p>
    <w:p w:rsidR="003F3B71" w:rsidRDefault="00ED3A74">
      <w:pPr>
        <w:numPr>
          <w:ilvl w:val="0"/>
          <w:numId w:val="3"/>
        </w:numPr>
        <w:spacing w:after="38"/>
        <w:ind w:left="800" w:hanging="358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Текстовий процесор </w:t>
      </w:r>
    </w:p>
    <w:p w:rsidR="003F3B71" w:rsidRDefault="00ED3A74">
      <w:pPr>
        <w:numPr>
          <w:ilvl w:val="0"/>
          <w:numId w:val="3"/>
        </w:numPr>
        <w:spacing w:after="9" w:line="251" w:lineRule="auto"/>
        <w:ind w:left="800" w:hanging="35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Онлайн-перекладач </w:t>
      </w:r>
    </w:p>
    <w:p w:rsidR="003F3B71" w:rsidRDefault="00ED3A74">
      <w:pPr>
        <w:numPr>
          <w:ilvl w:val="0"/>
          <w:numId w:val="3"/>
        </w:numPr>
        <w:spacing w:after="43" w:line="251" w:lineRule="auto"/>
        <w:ind w:left="800" w:hanging="35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Середовище опису й  виконання алгоритмів Scratch</w:t>
      </w:r>
    </w:p>
    <w:p w:rsidR="003F3B71" w:rsidRDefault="00ED3A74">
      <w:pPr>
        <w:numPr>
          <w:ilvl w:val="0"/>
          <w:numId w:val="3"/>
        </w:numPr>
        <w:spacing w:after="0"/>
        <w:ind w:left="800" w:hanging="358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Редактор презентацій </w:t>
      </w:r>
    </w:p>
    <w:p w:rsidR="003F3B71" w:rsidRDefault="00ED3A74">
      <w:pPr>
        <w:numPr>
          <w:ilvl w:val="0"/>
          <w:numId w:val="3"/>
        </w:numPr>
        <w:spacing w:after="0"/>
        <w:ind w:left="800" w:hanging="358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Платформа графічного дизайну</w:t>
      </w:r>
    </w:p>
    <w:p w:rsidR="003F3B71" w:rsidRDefault="003F3B71">
      <w:pPr>
        <w:spacing w:after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3F3B71" w:rsidRDefault="00ED3A74">
      <w:pPr>
        <w:spacing w:after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Навчальні матеріали знаходяться в публічному Telegram каналі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https://t.me/+i2k44TXUfNw1MDky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3F3B71" w:rsidRDefault="003F3B71">
      <w:pPr>
        <w:spacing w:after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3F3B71" w:rsidRDefault="00ED3A74">
      <w:pPr>
        <w:spacing w:after="196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3F3B71" w:rsidRDefault="00ED3A74">
      <w:pPr>
        <w:pStyle w:val="Heading2"/>
        <w:spacing w:after="204"/>
        <w:ind w:right="4"/>
      </w:pPr>
      <w:r>
        <w:t xml:space="preserve">ІV. Система оцінювання результатів навчання </w:t>
      </w:r>
    </w:p>
    <w:p w:rsidR="003F3B71" w:rsidRDefault="00ED3A74">
      <w:pPr>
        <w:spacing w:after="137"/>
        <w:ind w:firstLine="708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Базується  на положеннях Рекомендацій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щодо оцінювання навчальних досягнень учнів 56 класів, які здобувають освіту відповідно до нового Державного стандарту базової середньої освіти, затверджених наказом Міністерства освіти і науки України 01 квітня 2022 р за. № 289 та Загальних критеріях оцін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ювання результатів навчання учнів 5-6 класів, які здобувають освіту відповідно до нового Державного стандарту базової середньої освіти (додаток №2 до наказу №289) </w:t>
      </w:r>
    </w:p>
    <w:p w:rsidR="003F3B71" w:rsidRDefault="00ED3A74">
      <w:pPr>
        <w:spacing w:after="120" w:line="314" w:lineRule="auto"/>
        <w:ind w:left="-15" w:firstLine="708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Основними видами оцінювання результатів навчання учнів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що проводяться закладом, є формувальне, поточне та підсумкове: тематичне, семестрове, річне. </w:t>
      </w:r>
    </w:p>
    <w:p w:rsidR="003F3B71" w:rsidRDefault="00ED3A74">
      <w:pPr>
        <w:spacing w:after="70" w:line="251" w:lineRule="auto"/>
        <w:ind w:left="718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оцінювання (бальна/рівнева): </w:t>
      </w:r>
    </w:p>
    <w:p w:rsidR="003F3B71" w:rsidRDefault="00ED3A74">
      <w:pPr>
        <w:numPr>
          <w:ilvl w:val="0"/>
          <w:numId w:val="4"/>
        </w:numPr>
        <w:spacing w:after="38"/>
        <w:ind w:hanging="360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10, 11, 12 – В (високий) </w:t>
      </w:r>
    </w:p>
    <w:p w:rsidR="003F3B71" w:rsidRDefault="00ED3A74">
      <w:pPr>
        <w:numPr>
          <w:ilvl w:val="0"/>
          <w:numId w:val="4"/>
        </w:numPr>
        <w:spacing w:after="38"/>
        <w:ind w:hanging="360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7, 8, 9 – Д (достатній) </w:t>
      </w:r>
    </w:p>
    <w:p w:rsidR="003F3B71" w:rsidRDefault="00ED3A74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4, 5, 6 – С (середній) </w:t>
      </w:r>
    </w:p>
    <w:p w:rsidR="003F3B71" w:rsidRDefault="00ED3A74">
      <w:pPr>
        <w:numPr>
          <w:ilvl w:val="0"/>
          <w:numId w:val="4"/>
        </w:numPr>
        <w:spacing w:after="0"/>
        <w:ind w:hanging="360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1, 2, 3 – П (початковий) </w:t>
      </w: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3F3B71">
      <w:pPr>
        <w:spacing w:after="0"/>
        <w:ind w:left="142"/>
        <w:jc w:val="both"/>
      </w:pPr>
    </w:p>
    <w:p w:rsidR="003F3B71" w:rsidRDefault="00ED3A74">
      <w:pPr>
        <w:pStyle w:val="Heading2"/>
        <w:ind w:right="2"/>
      </w:pPr>
      <w:r>
        <w:lastRenderedPageBreak/>
        <w:t xml:space="preserve">V. Список літератури та інформаційних ресурсів </w:t>
      </w:r>
    </w:p>
    <w:p w:rsidR="003F3B71" w:rsidRDefault="00ED3A74">
      <w:pPr>
        <w:numPr>
          <w:ilvl w:val="0"/>
          <w:numId w:val="5"/>
        </w:numPr>
        <w:spacing w:after="3" w:line="249" w:lineRule="auto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Державний стандарт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повної загальної середньої освіти.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https://www.kmu.gov.ua/npas/prodeyaki-pitannya-derzhavnih-standartiv-povnoyi-zagalnoyi-serednoyi-osviti-i300920-898</w:t>
        </w:r>
      </w:hyperlink>
      <w:hyperlink r:id="rId16">
        <w:r>
          <w:rPr>
            <w:rFonts w:ascii="Times New Roman" w:eastAsia="Times New Roman" w:hAnsi="Times New Roman" w:cs="Times New Roman"/>
            <w:color w:val="050505"/>
            <w:sz w:val="24"/>
            <w:szCs w:val="24"/>
          </w:rPr>
          <w:t xml:space="preserve"> </w:t>
        </w:r>
      </w:hyperlink>
    </w:p>
    <w:p w:rsidR="003F3B71" w:rsidRDefault="00ED3A74">
      <w:pPr>
        <w:spacing w:after="22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3F3B71" w:rsidRDefault="00ED3A74">
      <w:pPr>
        <w:numPr>
          <w:ilvl w:val="0"/>
          <w:numId w:val="5"/>
        </w:numPr>
        <w:spacing w:after="3" w:line="249" w:lineRule="auto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ельна навчальна програма. «Інформатика. 5-6 клас» для закладів загальної середньої освіти (авт.  Пасічник О. В., Чернікова Л. А.).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«Рекомендовано Міністерством освіти і науки України» (наказ Міністерства освіти і науки України від 12.07.2021 № 795).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https://mon.gov.ua/storage/app/media/zagalna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%20serednya/Navchalni.prohramy/2021/14.07/Model.na vch.prohr.5-9.klas.NUSH-poetap.z.2022/Inform.osv.haluz.5-6-kl/Inform.5-6kl.Pasichnyk.Chernikova.14.07.pdf</w:t>
        </w:r>
      </w:hyperlink>
      <w:hyperlink r:id="rId1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3F3B71" w:rsidRDefault="00ED3A74">
      <w:pPr>
        <w:spacing w:after="22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3F3B71" w:rsidRDefault="003F3B71">
      <w:pPr>
        <w:spacing w:after="3" w:line="249" w:lineRule="auto"/>
        <w:jc w:val="both"/>
      </w:pPr>
    </w:p>
    <w:p w:rsidR="003F3B71" w:rsidRDefault="00ED3A74">
      <w:pPr>
        <w:spacing w:after="22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3F3B71" w:rsidRDefault="00ED3A74">
      <w:pPr>
        <w:spacing w:after="0" w:line="290" w:lineRule="auto"/>
        <w:ind w:left="-15" w:right="-7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Рекомендації щодо оцінювання навчальних досягнень учнів 5-6 класів, які здобувають освіту відповідно до нового Державного станд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арту базової середньої освіти, наказ Міністерства освіти і науки України 01.04.2022 р. № 289. </w:t>
      </w:r>
    </w:p>
    <w:p w:rsidR="003F3B71" w:rsidRDefault="003F3B71">
      <w:pPr>
        <w:spacing w:after="3" w:line="249" w:lineRule="auto"/>
        <w:ind w:left="-5" w:hanging="10"/>
        <w:jc w:val="both"/>
      </w:pPr>
      <w:hyperlink r:id="rId19">
        <w:r w:rsidR="00ED3A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https://osvita.ua/doc/files/news/861/86195/OCINYuVANNYa_OST818.pdf</w:t>
        </w:r>
      </w:hyperlink>
      <w:hyperlink r:id="rId20">
        <w:r w:rsidR="00ED3A7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3F3B71" w:rsidRDefault="003F3B71"/>
    <w:sectPr w:rsidR="003F3B71" w:rsidSect="003F3B71">
      <w:pgSz w:w="11906" w:h="16838"/>
      <w:pgMar w:top="1134" w:right="850" w:bottom="1134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74" w:rsidRDefault="00ED3A74" w:rsidP="003F3B71">
      <w:pPr>
        <w:spacing w:after="0" w:line="240" w:lineRule="auto"/>
      </w:pPr>
      <w:r>
        <w:separator/>
      </w:r>
    </w:p>
  </w:endnote>
  <w:endnote w:type="continuationSeparator" w:id="1">
    <w:p w:rsidR="00ED3A74" w:rsidRDefault="00ED3A74" w:rsidP="003F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1" w:rsidRDefault="003F3B7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1" w:rsidRDefault="003F3B7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1" w:rsidRDefault="003F3B7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1" w:rsidRDefault="003F3B71">
    <w:pPr>
      <w:spacing w:after="0"/>
      <w:ind w:right="-5390"/>
      <w:jc w:val="right"/>
    </w:pPr>
    <w:r>
      <w:fldChar w:fldCharType="begin"/>
    </w:r>
    <w:r w:rsidR="00ED3A74">
      <w:instrText>PAGE</w:instrText>
    </w:r>
    <w:r>
      <w:fldChar w:fldCharType="end"/>
    </w:r>
    <w:r w:rsidR="00ED3A74"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1" w:rsidRDefault="003F3B71">
    <w:pPr>
      <w:spacing w:after="0"/>
      <w:ind w:right="-5390"/>
      <w:jc w:val="right"/>
    </w:pPr>
    <w:r>
      <w:fldChar w:fldCharType="begin"/>
    </w:r>
    <w:r w:rsidR="00ED3A74">
      <w:instrText>PAGE</w:instrText>
    </w:r>
    <w:r w:rsidR="00BF198A">
      <w:fldChar w:fldCharType="separate"/>
    </w:r>
    <w:r w:rsidR="00BF198A">
      <w:rPr>
        <w:noProof/>
      </w:rPr>
      <w:t>21</w:t>
    </w:r>
    <w:r>
      <w:fldChar w:fldCharType="end"/>
    </w:r>
    <w:r w:rsidR="00ED3A74"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71" w:rsidRDefault="003F3B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74" w:rsidRDefault="00ED3A74" w:rsidP="003F3B71">
      <w:pPr>
        <w:spacing w:after="0" w:line="240" w:lineRule="auto"/>
      </w:pPr>
      <w:r>
        <w:separator/>
      </w:r>
    </w:p>
  </w:footnote>
  <w:footnote w:type="continuationSeparator" w:id="1">
    <w:p w:rsidR="00ED3A74" w:rsidRDefault="00ED3A74" w:rsidP="003F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11A"/>
    <w:multiLevelType w:val="multilevel"/>
    <w:tmpl w:val="A0D248FE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4E9F5C72"/>
    <w:multiLevelType w:val="multilevel"/>
    <w:tmpl w:val="96ACB2C4"/>
    <w:lvl w:ilvl="0">
      <w:start w:val="1"/>
      <w:numFmt w:val="bullet"/>
      <w:lvlText w:val="●"/>
      <w:lvlJc w:val="left"/>
      <w:pPr>
        <w:ind w:left="1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D6088E"/>
    <w:multiLevelType w:val="multilevel"/>
    <w:tmpl w:val="BBC28336"/>
    <w:lvl w:ilvl="0">
      <w:start w:val="1"/>
      <w:numFmt w:val="bullet"/>
      <w:lvlText w:val="•"/>
      <w:lvlJc w:val="left"/>
      <w:pPr>
        <w:ind w:left="799" w:hanging="799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22" w:hanging="152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42" w:hanging="224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62" w:hanging="2962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82" w:hanging="368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02" w:hanging="440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22" w:hanging="5122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42" w:hanging="584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62" w:hanging="656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nsid w:val="5ED67A78"/>
    <w:multiLevelType w:val="multilevel"/>
    <w:tmpl w:val="5F3CDC1E"/>
    <w:lvl w:ilvl="0">
      <w:start w:val="1"/>
      <w:numFmt w:val="decimal"/>
      <w:lvlText w:val="%1.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753720DA"/>
    <w:multiLevelType w:val="multilevel"/>
    <w:tmpl w:val="05F24CFA"/>
    <w:lvl w:ilvl="0">
      <w:start w:val="1"/>
      <w:numFmt w:val="bullet"/>
      <w:lvlText w:val="●"/>
      <w:lvlJc w:val="left"/>
      <w:pPr>
        <w:ind w:left="14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3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B71"/>
    <w:rsid w:val="003F3B71"/>
    <w:rsid w:val="00BF198A"/>
    <w:rsid w:val="00ED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4D"/>
    <w:rPr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395E2D"/>
    <w:pPr>
      <w:keepNext/>
      <w:keepLines/>
      <w:spacing w:after="220"/>
      <w:ind w:right="2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395E2D"/>
    <w:pPr>
      <w:keepNext/>
      <w:keepLines/>
      <w:spacing w:after="65" w:line="270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50505"/>
      <w:sz w:val="28"/>
      <w:lang w:val="en-US"/>
    </w:rPr>
  </w:style>
  <w:style w:type="paragraph" w:styleId="Heading3">
    <w:name w:val="heading 3"/>
    <w:basedOn w:val="normal0"/>
    <w:next w:val="normal0"/>
    <w:rsid w:val="003F3B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3B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3B7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F3B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3B71"/>
  </w:style>
  <w:style w:type="paragraph" w:styleId="Title">
    <w:name w:val="Title"/>
    <w:basedOn w:val="normal0"/>
    <w:next w:val="normal0"/>
    <w:rsid w:val="003F3B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95E2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95E2D"/>
    <w:rPr>
      <w:rFonts w:ascii="Times New Roman" w:eastAsia="Times New Roman" w:hAnsi="Times New Roman" w:cs="Times New Roman"/>
      <w:b/>
      <w:color w:val="050505"/>
      <w:sz w:val="28"/>
      <w:lang w:val="en-US"/>
    </w:rPr>
  </w:style>
  <w:style w:type="table" w:customStyle="1" w:styleId="TableGrid">
    <w:name w:val="TableGrid"/>
    <w:rsid w:val="00395E2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2D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5E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95E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E2D"/>
    <w:rPr>
      <w:color w:val="605E5C"/>
      <w:shd w:val="clear" w:color="auto" w:fill="E1DFDD"/>
    </w:rPr>
  </w:style>
  <w:style w:type="paragraph" w:styleId="Subtitle">
    <w:name w:val="Subtitle"/>
    <w:basedOn w:val="normal0"/>
    <w:next w:val="normal0"/>
    <w:rsid w:val="003F3B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3B71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50" w:type="dxa"/>
      </w:tblCellMar>
    </w:tblPr>
  </w:style>
  <w:style w:type="table" w:customStyle="1" w:styleId="a0">
    <w:basedOn w:val="TableNormal"/>
    <w:rsid w:val="003F3B71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50" w:type="dxa"/>
      </w:tblCellMar>
    </w:tblPr>
  </w:style>
  <w:style w:type="table" w:customStyle="1" w:styleId="a1">
    <w:basedOn w:val="TableNormal"/>
    <w:rsid w:val="003F3B71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50" w:type="dxa"/>
      </w:tblCellMar>
    </w:tblPr>
  </w:style>
  <w:style w:type="table" w:customStyle="1" w:styleId="a2">
    <w:basedOn w:val="TableNormal"/>
    <w:rsid w:val="003F3B71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74" w:type="dxa"/>
      </w:tblCellMar>
    </w:tblPr>
  </w:style>
  <w:style w:type="table" w:customStyle="1" w:styleId="a3">
    <w:basedOn w:val="TableNormal"/>
    <w:rsid w:val="003F3B71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74" w:type="dxa"/>
      </w:tblCellMar>
    </w:tblPr>
  </w:style>
  <w:style w:type="table" w:customStyle="1" w:styleId="a4">
    <w:basedOn w:val="TableNormal"/>
    <w:rsid w:val="003F3B7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mon.gov.ua/storage/app/media/zagalna%20serednya/Navchalni.prohramy/2021/14.07/Model.navch.prohr.5-9.klas.NUSH-poetap.z.2022/Inform.osv.haluz.5-6-kl/Inform.5-6-kl.Pasichnyk.Chernikova.14.07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mon.gov.ua/storage/app/media/zagalna%20serednya/Navchalni.prohramy/2021/14.07/Model.navch.prohr.5-9.klas.NUSH-poetap.z.2022/Inform.osv.haluz.5-6-kl/Inform.5-6-kl.Pasichnyk.Chernikova.14.0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mu.gov.ua/npas/pro-deyaki-pitannya-derzhavnih-standartiv-povnoyi-zagalnoyi-serednoyi-osviti-i300920-898" TargetMode="External"/><Relationship Id="rId20" Type="http://schemas.openxmlformats.org/officeDocument/2006/relationships/hyperlink" Target="https://osvita.ua/doc/files/news/861/86195/OCINYuVANNYa_OST8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npas/pro-deyaki-pitannya-derzhavnih-standartiv-povnoyi-zagalnoyi-serednoyi-osviti-i300920-898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osvita.ua/doc/files/news/861/86195/OCINYuVANNYa_OST818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t.me/+i2k44TXUfNw1MDk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N4fzUNQW9lrwCYb26ZjnBdPcw==">CgMxLjAyCGguZ2pkZ3hzOAByITFnOWxERjk2a1h5eEtCb3FWM3RwbmRybTlCS0R2WGJtcA==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6036</Words>
  <Characters>34410</Characters>
  <Application>Microsoft Office Word</Application>
  <DocSecurity>0</DocSecurity>
  <Lines>286</Lines>
  <Paragraphs>80</Paragraphs>
  <ScaleCrop>false</ScaleCrop>
  <Company>*</Company>
  <LinksUpToDate>false</LinksUpToDate>
  <CharactersWithSpaces>40366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Тріщук</dc:creator>
  <cp:lastModifiedBy>Admin</cp:lastModifiedBy>
  <cp:revision>2</cp:revision>
  <dcterms:created xsi:type="dcterms:W3CDTF">2023-08-25T14:27:00Z</dcterms:created>
  <dcterms:modified xsi:type="dcterms:W3CDTF">2023-08-25T14:27:00Z</dcterms:modified>
</cp:coreProperties>
</file>