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E78" w:rsidRDefault="00434E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434E78" w:rsidRDefault="005D0549">
      <w:pP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Барна М., Гурська І., Іваночко О., Черхавська Л.</w:t>
      </w:r>
    </w:p>
    <w:p w:rsidR="00434E78" w:rsidRDefault="00434E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</w:rPr>
      </w:pPr>
    </w:p>
    <w:p w:rsidR="00434E78" w:rsidRDefault="005D05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</w:rPr>
      </w:pPr>
      <w:r>
        <w:rPr>
          <w:rFonts w:ascii="Times New Roman" w:eastAsia="Times New Roman" w:hAnsi="Times New Roman" w:cs="Times New Roman"/>
          <w:b/>
          <w:color w:val="0070C0"/>
        </w:rPr>
        <w:t>Навчальна програма разом з орієнтовним календарно-тематичним плануванням</w:t>
      </w:r>
    </w:p>
    <w:p w:rsidR="00434E78" w:rsidRDefault="005D05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уроків математики в 6 класі  </w:t>
      </w:r>
    </w:p>
    <w:p w:rsidR="00434E78" w:rsidRDefault="005D05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(5 год. на тиждень) </w:t>
      </w:r>
    </w:p>
    <w:p w:rsidR="00434E78" w:rsidRDefault="005D05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І семестр 2023-2024 н. р.    (75 год)</w:t>
      </w:r>
    </w:p>
    <w:p w:rsidR="00434E78" w:rsidRDefault="00434E7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434E78" w:rsidRDefault="005D0549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Модельна навчальна програма:</w:t>
      </w:r>
      <w:r>
        <w:rPr>
          <w:rFonts w:ascii="Times New Roman" w:eastAsia="Times New Roman" w:hAnsi="Times New Roman" w:cs="Times New Roman"/>
        </w:rPr>
        <w:t xml:space="preserve">  «</w:t>
      </w:r>
      <w:r>
        <w:rPr>
          <w:rFonts w:ascii="Times New Roman" w:eastAsia="Times New Roman" w:hAnsi="Times New Roman" w:cs="Times New Roman"/>
          <w:b/>
        </w:rPr>
        <w:t>Математика. 7–9 класи» для закладів загальної середньої освіти</w:t>
      </w:r>
    </w:p>
    <w:p w:rsidR="00434E78" w:rsidRDefault="005D05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 xml:space="preserve"> (автори Василишин М.С., Миляник А.І., Працьовитий М.В., Простакова Ю.С., Школьний О.В.)</w:t>
      </w:r>
    </w:p>
    <w:p w:rsidR="00434E78" w:rsidRDefault="00434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7030A0"/>
        </w:rPr>
      </w:pPr>
    </w:p>
    <w:p w:rsidR="00434E78" w:rsidRDefault="005D05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</w:rPr>
      </w:pPr>
      <w:r>
        <w:rPr>
          <w:rFonts w:ascii="Times New Roman" w:eastAsia="Times New Roman" w:hAnsi="Times New Roman" w:cs="Times New Roman"/>
          <w:b/>
          <w:color w:val="7030A0"/>
        </w:rPr>
        <w:t>Очікувані групи результатів навчання:</w:t>
      </w:r>
    </w:p>
    <w:p w:rsidR="00434E78" w:rsidRDefault="005D0549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b/>
          <w:color w:val="00B050"/>
        </w:rPr>
      </w:pPr>
      <w:r>
        <w:rPr>
          <w:rFonts w:ascii="Times New Roman" w:eastAsia="Times New Roman" w:hAnsi="Times New Roman" w:cs="Times New Roman"/>
          <w:b/>
          <w:color w:val="00B050"/>
        </w:rPr>
        <w:t>Досліджує ситуації  та створює математичні моделі</w:t>
      </w:r>
    </w:p>
    <w:p w:rsidR="00434E78" w:rsidRDefault="005D0549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414"/>
        <w:jc w:val="both"/>
        <w:rPr>
          <w:rFonts w:ascii="Times New Roman" w:eastAsia="Times New Roman" w:hAnsi="Times New Roman" w:cs="Times New Roman"/>
          <w:b/>
          <w:color w:val="1F4E79"/>
        </w:rPr>
      </w:pPr>
      <w:r>
        <w:rPr>
          <w:rFonts w:ascii="Times New Roman" w:eastAsia="Times New Roman" w:hAnsi="Times New Roman" w:cs="Times New Roman"/>
          <w:b/>
          <w:color w:val="1F4E79"/>
        </w:rPr>
        <w:t>Розв'язує математичні задачі</w:t>
      </w:r>
    </w:p>
    <w:p w:rsidR="00434E78" w:rsidRDefault="005D0549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414"/>
        <w:jc w:val="both"/>
        <w:rPr>
          <w:rFonts w:ascii="Times New Roman" w:eastAsia="Times New Roman" w:hAnsi="Times New Roman" w:cs="Times New Roman"/>
          <w:b/>
          <w:color w:val="C00000"/>
        </w:rPr>
      </w:pPr>
      <w:r>
        <w:rPr>
          <w:rFonts w:ascii="Times New Roman" w:eastAsia="Times New Roman" w:hAnsi="Times New Roman" w:cs="Times New Roman"/>
          <w:b/>
          <w:color w:val="C00000"/>
        </w:rPr>
        <w:t xml:space="preserve">Інтерпретує та критично аналізує результати </w:t>
      </w:r>
    </w:p>
    <w:p w:rsidR="00434E78" w:rsidRDefault="00434E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14"/>
        <w:jc w:val="both"/>
        <w:rPr>
          <w:rFonts w:ascii="Times New Roman" w:eastAsia="Times New Roman" w:hAnsi="Times New Roman" w:cs="Times New Roman"/>
          <w:b/>
          <w:color w:val="ED7D31"/>
        </w:rPr>
      </w:pPr>
    </w:p>
    <w:tbl>
      <w:tblPr>
        <w:tblStyle w:val="a0"/>
        <w:tblW w:w="156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95"/>
        <w:gridCol w:w="645"/>
        <w:gridCol w:w="3600"/>
        <w:gridCol w:w="4275"/>
        <w:gridCol w:w="1590"/>
        <w:gridCol w:w="4770"/>
      </w:tblGrid>
      <w:tr w:rsidR="00434E78">
        <w:trPr>
          <w:cantSplit/>
          <w:trHeight w:val="610"/>
          <w:tblHeader/>
          <w:jc w:val="center"/>
        </w:trPr>
        <w:tc>
          <w:tcPr>
            <w:tcW w:w="795" w:type="dxa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№ уроку</w:t>
            </w:r>
          </w:p>
        </w:tc>
        <w:tc>
          <w:tcPr>
            <w:tcW w:w="645" w:type="dxa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Дата проведення</w:t>
            </w:r>
          </w:p>
        </w:tc>
        <w:tc>
          <w:tcPr>
            <w:tcW w:w="3600" w:type="dxa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Зміст матеріалу, пропонований для вивчення</w:t>
            </w:r>
          </w:p>
        </w:tc>
        <w:tc>
          <w:tcPr>
            <w:tcW w:w="4275" w:type="dxa"/>
            <w:vAlign w:val="center"/>
          </w:tcPr>
          <w:p w:rsidR="00434E78" w:rsidRDefault="005D0549">
            <w:pPr>
              <w:spacing w:after="0"/>
              <w:ind w:left="233" w:hanging="193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Очікувані</w:t>
            </w:r>
          </w:p>
          <w:p w:rsidR="00434E78" w:rsidRDefault="005D0549">
            <w:pPr>
              <w:spacing w:after="0"/>
              <w:ind w:left="233" w:hanging="193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результати</w:t>
            </w:r>
          </w:p>
        </w:tc>
        <w:tc>
          <w:tcPr>
            <w:tcW w:w="1590" w:type="dxa"/>
            <w:vAlign w:val="center"/>
          </w:tcPr>
          <w:p w:rsidR="00434E78" w:rsidRDefault="00434E78">
            <w:pPr>
              <w:spacing w:after="0"/>
              <w:ind w:left="474" w:hanging="273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4770" w:type="dxa"/>
            <w:vAlign w:val="center"/>
          </w:tcPr>
          <w:p w:rsidR="00434E78" w:rsidRDefault="005D0549">
            <w:pPr>
              <w:spacing w:after="0"/>
              <w:ind w:left="474" w:hanging="273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Уміння, що можуть бути рекомендовані для  оцінювання, у розрізі</w:t>
            </w:r>
          </w:p>
          <w:p w:rsidR="00434E78" w:rsidRDefault="005D0549">
            <w:pPr>
              <w:spacing w:after="0"/>
              <w:ind w:left="474" w:hanging="273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груп загальних  результатів (ГЗР) навчання</w:t>
            </w:r>
          </w:p>
        </w:tc>
      </w:tr>
      <w:tr w:rsidR="00434E78">
        <w:trPr>
          <w:cantSplit/>
          <w:trHeight w:val="554"/>
          <w:tblHeader/>
          <w:jc w:val="center"/>
        </w:trPr>
        <w:tc>
          <w:tcPr>
            <w:tcW w:w="15675" w:type="dxa"/>
            <w:gridSpan w:val="6"/>
            <w:shd w:val="clear" w:color="auto" w:fill="D9E2F3"/>
            <w:vAlign w:val="center"/>
          </w:tcPr>
          <w:p w:rsidR="00434E78" w:rsidRDefault="005D0549">
            <w:pP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Теми для роботи над подоланням найбільш відчутних освітніх втрат за курс 5-го класу (11 год)</w:t>
            </w: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1-2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Впорядкування та округлення чисел. Числові послідовності</w:t>
            </w:r>
          </w:p>
        </w:tc>
        <w:tc>
          <w:tcPr>
            <w:tcW w:w="4275" w:type="dxa"/>
            <w:vMerge w:val="restart"/>
          </w:tcPr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0" w:type="dxa"/>
            <w:vMerge w:val="restart"/>
            <w:vAlign w:val="center"/>
          </w:tcPr>
          <w:p w:rsidR="00434E78" w:rsidRDefault="00434E78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770" w:type="dxa"/>
            <w:vMerge w:val="restart"/>
          </w:tcPr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3-4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Додавання і віднімання натуральних чисел</w:t>
            </w:r>
          </w:p>
        </w:tc>
        <w:tc>
          <w:tcPr>
            <w:tcW w:w="4275" w:type="dxa"/>
            <w:vMerge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0" w:type="dxa"/>
            <w:vMerge/>
            <w:vAlign w:val="center"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70" w:type="dxa"/>
            <w:vMerge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5-6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Множення і ділення на 10, 100, 1000, на двоцифрове число</w:t>
            </w:r>
          </w:p>
        </w:tc>
        <w:tc>
          <w:tcPr>
            <w:tcW w:w="4275" w:type="dxa"/>
            <w:vMerge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0" w:type="dxa"/>
            <w:vMerge/>
            <w:vAlign w:val="center"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70" w:type="dxa"/>
            <w:vMerge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7-8-9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Розв’язування сюжетних задач</w:t>
            </w:r>
          </w:p>
        </w:tc>
        <w:tc>
          <w:tcPr>
            <w:tcW w:w="4275" w:type="dxa"/>
            <w:vMerge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0" w:type="dxa"/>
            <w:vMerge/>
            <w:vAlign w:val="center"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70" w:type="dxa"/>
            <w:vMerge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34E78">
        <w:trPr>
          <w:cantSplit/>
          <w:trHeight w:val="1516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10-11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tabs>
                <w:tab w:val="left" w:pos="301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C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C00000"/>
              </w:rPr>
              <w:t>Експрес-тест №1</w:t>
            </w:r>
          </w:p>
          <w:p w:rsidR="00434E78" w:rsidRDefault="00434E78">
            <w:pPr>
              <w:tabs>
                <w:tab w:val="left" w:pos="301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C00000"/>
              </w:rPr>
            </w:pPr>
          </w:p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C00000"/>
              </w:rPr>
            </w:pPr>
            <w:r>
              <w:rPr>
                <w:rFonts w:ascii="Times New Roman" w:eastAsia="Times New Roman" w:hAnsi="Times New Roman" w:cs="Times New Roman"/>
                <w:color w:val="C00000"/>
              </w:rPr>
              <w:t xml:space="preserve">Аналіз експрес-тесту для індивідуального планування  подолання найбільш відчутних освітніх втрат    </w:t>
            </w:r>
          </w:p>
          <w:p w:rsidR="00434E78" w:rsidRDefault="00434E7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C00000"/>
              </w:rPr>
            </w:pPr>
          </w:p>
          <w:p w:rsidR="00434E78" w:rsidRDefault="00434E7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C00000"/>
              </w:rPr>
            </w:pPr>
          </w:p>
          <w:p w:rsidR="00434E78" w:rsidRDefault="00434E7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75" w:type="dxa"/>
            <w:vMerge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0" w:type="dxa"/>
            <w:vMerge/>
            <w:vAlign w:val="center"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70" w:type="dxa"/>
            <w:vMerge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15675" w:type="dxa"/>
            <w:gridSpan w:val="6"/>
            <w:shd w:val="clear" w:color="auto" w:fill="D9E2F3"/>
            <w:vAlign w:val="center"/>
          </w:tcPr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Тема 2. Подільність натуральних чисел  ( 9 год.)</w:t>
            </w: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434E7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Дільники і подільність. Ознаки подільності.</w:t>
            </w:r>
          </w:p>
        </w:tc>
        <w:tc>
          <w:tcPr>
            <w:tcW w:w="4275" w:type="dxa"/>
          </w:tcPr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71"/>
              </w:tabs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Доречно формулює, використовує математичні поняття і факти</w:t>
            </w:r>
          </w:p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71"/>
              </w:tabs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Формулює  ознаки подільності на 2, 3, 5, 9, 10.</w:t>
            </w:r>
          </w:p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71"/>
              </w:tabs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Наводить  приклади простих і складених чисел, парних і непарних чисел, чисел, що діляться націло на 2, 3, 5, 9, 10.</w:t>
            </w:r>
          </w:p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71"/>
              </w:tabs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Розв’язує  вправи і сюжетні задачі, що передбачають використання ознак подільності на 2, 3, 5, 9, 10</w:t>
            </w:r>
          </w:p>
        </w:tc>
        <w:tc>
          <w:tcPr>
            <w:tcW w:w="1590" w:type="dxa"/>
            <w:vMerge w:val="restart"/>
            <w:vAlign w:val="center"/>
          </w:tcPr>
          <w:p w:rsidR="00434E78" w:rsidRDefault="005D0549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ТДР №1 з теми «Подільність натуральних чисел »</w:t>
            </w:r>
          </w:p>
        </w:tc>
        <w:tc>
          <w:tcPr>
            <w:tcW w:w="4770" w:type="dxa"/>
            <w:vMerge w:val="restart"/>
          </w:tcPr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>ГЗР 1</w:t>
            </w: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>Доцільність та доречність формулювання та використання математичних понять і фактів</w:t>
            </w:r>
          </w:p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>Розуміння тексту математичного змісту (правильність відповідей на запитання за опрацьованою інформацією)</w:t>
            </w:r>
          </w:p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 xml:space="preserve">Здійснення переходу від реалізації реальної моделі ситуації до її математичної моделі </w:t>
            </w:r>
          </w:p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>Визначення даних, які є необхідними для розв’язання проблемної ситуації</w:t>
            </w:r>
          </w:p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ГЗР 2</w:t>
            </w: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 xml:space="preserve">Виконання потрібних  математичних  дій для реалізації математичної моделі </w:t>
            </w:r>
          </w:p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Розв’язання задачі реального змісту із вивченої теми</w:t>
            </w:r>
          </w:p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bookmarkStart w:id="1" w:name="_heading=h.30j0zll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Використання відомих правил та послідовності дій з математичними об’єктами для розв’язання проблемної  ситуації.</w:t>
            </w:r>
          </w:p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Застосування раціонального способу розв’язання задач реального змісту</w:t>
            </w:r>
          </w:p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Правильність і до</w:t>
            </w: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 xml:space="preserve">цільність оперування текстовими і числовими даними </w:t>
            </w:r>
          </w:p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>ГЗР 3</w:t>
            </w:r>
          </w:p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C00000"/>
              </w:rPr>
            </w:pP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bookmarkStart w:id="2" w:name="_heading=h.1fob9te" w:colFirst="0" w:colLast="0"/>
            <w:bookmarkEnd w:id="2"/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>Перевірка сумісності отриманих результатів з даними умови задачі</w:t>
            </w:r>
          </w:p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C00000"/>
              </w:rPr>
            </w:pPr>
          </w:p>
          <w:p w:rsidR="00434E78" w:rsidRDefault="005D0549">
            <w:pPr>
              <w:spacing w:after="119" w:line="226" w:lineRule="auto"/>
              <w:ind w:left="2" w:right="2"/>
              <w:jc w:val="both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>Обґрунтування та оцінювання  ходу своїх міркувань з огляду на доказовість отриманого результату</w:t>
            </w:r>
          </w:p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>Пошук помилки/помилок у записі тве</w:t>
            </w:r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>рджень та їх виправлення</w:t>
            </w:r>
          </w:p>
          <w:bookmarkStart w:id="3" w:name="_heading=h.3znysh7" w:colFirst="0" w:colLast="0"/>
          <w:bookmarkEnd w:id="3"/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>
              <w:fldChar w:fldCharType="begin"/>
            </w:r>
            <w:r>
              <w:instrText>HYPERLINK "https://docs.google.com/document/d/1r7Rl0t-MvMx5d0irOXorkHdjcF1TuylZ/edit?usp=drive_link&amp;ouid=103907997120343883669&amp;rtpof=true&amp;sd=true" \h</w:instrText>
            </w:r>
            <w:r>
              <w:fldChar w:fldCharType="separate"/>
            </w:r>
            <w:r w:rsidRPr="00434E78">
              <w:rPr>
                <w:rFonts w:ascii="Times New Roman" w:eastAsia="Times New Roman" w:hAnsi="Times New Roman" w:cs="Times New Roman"/>
                <w:b/>
                <w:color w:val="1155CC"/>
                <w:u w:val="single"/>
              </w:rPr>
              <w:object w:dxaOrig="2240" w:dyaOrig="14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05pt;height:49.55pt" o:ole="">
                  <v:imagedata r:id="rId6" o:title=""/>
                </v:shape>
                <o:OLEObject Type="Embed" ProgID="Word.Document.12" ShapeID="_x0000_i1025" DrawAspect="Icon" ObjectID="_1762601084" r:id="rId7">
                  <o:FieldCodes>\s</o:FieldCodes>
                </o:OLEObject>
              </w:object>
            </w:r>
            <w:r>
              <w:fldChar w:fldCharType="end"/>
            </w: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Спільний дільник </w:t>
            </w:r>
          </w:p>
          <w:p w:rsidR="00434E78" w:rsidRDefault="00434E7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75" w:type="dxa"/>
          </w:tcPr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Визначає, чи є дане число дільником даного натурального числа</w:t>
            </w:r>
          </w:p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Розв’язє  вправи і сюжетні  задачі, що передбачають знаходження спільних дільників двох чисел та найбільшого спільного дільника двох чисел в межах 100.</w:t>
            </w:r>
          </w:p>
        </w:tc>
        <w:tc>
          <w:tcPr>
            <w:tcW w:w="1590" w:type="dxa"/>
            <w:vMerge/>
            <w:vAlign w:val="center"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70" w:type="dxa"/>
            <w:vMerge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14-15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Прості та складені числа. Розклад натурального числа на прості</w:t>
            </w:r>
          </w:p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множники. </w:t>
            </w:r>
          </w:p>
        </w:tc>
        <w:tc>
          <w:tcPr>
            <w:tcW w:w="4275" w:type="dxa"/>
          </w:tcPr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Визначає, чи є дане число простим або складеним</w:t>
            </w:r>
          </w:p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Наводить  приклади  простих і складених чисел, що діляться націло на 2, 3, 5, 9, 10.</w:t>
            </w:r>
          </w:p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233" w:hanging="19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Розв’язує  вправи і сюжеті  задачі, що передбачають розкладання натуральних чисел на прості множники</w:t>
            </w:r>
          </w:p>
        </w:tc>
        <w:tc>
          <w:tcPr>
            <w:tcW w:w="1590" w:type="dxa"/>
            <w:vMerge/>
            <w:vAlign w:val="center"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770" w:type="dxa"/>
            <w:vMerge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16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Спільне кратне. Найбільший спільний</w:t>
            </w:r>
          </w:p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дільник і найменше спільне кратне.</w:t>
            </w:r>
          </w:p>
          <w:p w:rsidR="00434E78" w:rsidRDefault="00434E7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75" w:type="dxa"/>
          </w:tcPr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Визначає, чи є дане число дільником або кратним даного натурального числа</w:t>
            </w:r>
          </w:p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Розв’язує  вправи і сюжетні  задачі, що передбачають знаходження найменшого спільного кратного двох чисел в межах 100.</w:t>
            </w:r>
          </w:p>
        </w:tc>
        <w:tc>
          <w:tcPr>
            <w:tcW w:w="1590" w:type="dxa"/>
            <w:vMerge/>
            <w:vAlign w:val="center"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70" w:type="dxa"/>
            <w:vMerge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17-18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Розв’язування сюжетних задач на</w:t>
            </w:r>
          </w:p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подільність навчального та</w:t>
            </w:r>
          </w:p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практичного змісту.</w:t>
            </w:r>
          </w:p>
        </w:tc>
        <w:tc>
          <w:tcPr>
            <w:tcW w:w="4275" w:type="dxa"/>
          </w:tcPr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Пригадує поняття “дільник”, “кратне”, ”просте число”, “складене число”, “спільний дільник”.</w:t>
            </w:r>
          </w:p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Вибирає  раціональний  спосіб  розв’язування проблеми. </w:t>
            </w:r>
          </w:p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Використовує  вміння обчислювати спільний дільник та спільне кратне при розв’язуванні сюжетних задач</w:t>
            </w:r>
          </w:p>
        </w:tc>
        <w:tc>
          <w:tcPr>
            <w:tcW w:w="1590" w:type="dxa"/>
            <w:vMerge/>
            <w:vAlign w:val="center"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70" w:type="dxa"/>
            <w:vMerge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19-20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ТДР№1 </w:t>
            </w:r>
          </w:p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Аналіз ТДР№1</w:t>
            </w:r>
          </w:p>
          <w:p w:rsidR="00434E78" w:rsidRDefault="00434E7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Підготовка і планування проєкту «Рекламна акція»</w:t>
            </w:r>
          </w:p>
          <w:p w:rsidR="00434E78" w:rsidRDefault="00434E7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434E78" w:rsidRDefault="00434E7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434E78" w:rsidRDefault="00434E7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75" w:type="dxa"/>
          </w:tcPr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0" w:type="dxa"/>
            <w:vMerge/>
            <w:vAlign w:val="center"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70" w:type="dxa"/>
            <w:vMerge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15675" w:type="dxa"/>
            <w:gridSpan w:val="6"/>
            <w:shd w:val="clear" w:color="auto" w:fill="D9E2F3"/>
            <w:vAlign w:val="center"/>
          </w:tcPr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Тема 3. Звичайні дроби та дії над ними (10 год)</w:t>
            </w: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bookmarkStart w:id="4" w:name="_heading=h.2et92p0" w:colFirst="0" w:colLast="0"/>
            <w:bookmarkEnd w:id="4"/>
            <w:r>
              <w:rPr>
                <w:rFonts w:ascii="Times New Roman" w:eastAsia="Times New Roman" w:hAnsi="Times New Roman" w:cs="Times New Roman"/>
              </w:rPr>
              <w:t>21-22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Звичайні дроби. Рівність дробів. Основна властивість дробу. Порівняння дробів..</w:t>
            </w:r>
          </w:p>
        </w:tc>
        <w:tc>
          <w:tcPr>
            <w:tcW w:w="4275" w:type="dxa"/>
          </w:tcPr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Пригадує  термінологію, потрібну  для роботи з темою.</w:t>
            </w:r>
          </w:p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Аналізує графіки  та схеми, на яких зображено частини від цілого. </w:t>
            </w:r>
          </w:p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Наводить  приклади  застосування основної властивості дробу.</w:t>
            </w:r>
          </w:p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Знає і розуміє  правила порівняння звичайних дробів</w:t>
            </w:r>
          </w:p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0" w:type="dxa"/>
            <w:vMerge w:val="restart"/>
            <w:vAlign w:val="center"/>
          </w:tcPr>
          <w:p w:rsidR="00434E78" w:rsidRDefault="005D0549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ТДР №2 з теми «Звичайні дроби та дії над ними»</w:t>
            </w:r>
          </w:p>
        </w:tc>
        <w:tc>
          <w:tcPr>
            <w:tcW w:w="4770" w:type="dxa"/>
            <w:vMerge w:val="restart"/>
          </w:tcPr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>ГЗР 1</w:t>
            </w:r>
          </w:p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 xml:space="preserve"> Правильність та доречність вживання математичної термінології </w:t>
            </w:r>
          </w:p>
          <w:p w:rsidR="00434E78" w:rsidRDefault="00434E7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</w:p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>Виокремлення простішої проблеми у складі пропонованої проблемної ситуації</w:t>
            </w: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bookmarkStart w:id="5" w:name="_heading=h.tyjcwt" w:colFirst="0" w:colLast="0"/>
            <w:bookmarkEnd w:id="5"/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>Здійснення переходу від реалізації реальної моделі ситуації до ї</w:t>
            </w:r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>ї математичної моделі</w:t>
            </w: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 xml:space="preserve"> </w:t>
            </w: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>Розуміння тексту математичного змісту (правильність відповідей на запитання за опрацьованою інформацією)</w:t>
            </w:r>
          </w:p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bookmarkStart w:id="6" w:name="_heading=h.3dy6vkm" w:colFirst="0" w:colLast="0"/>
            <w:bookmarkEnd w:id="6"/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ГЗР 2</w:t>
            </w: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Використання відомих правил та послідовності дій з математичними об’єктами для розв’язання проблемної  ситуації.</w:t>
            </w:r>
          </w:p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Виконання потрібних  математичних  дій для розв’язання проблемної  ситуації</w:t>
            </w:r>
          </w:p>
          <w:p w:rsidR="00434E78" w:rsidRDefault="005D0549">
            <w:pPr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bookmarkStart w:id="7" w:name="_heading=h.1t3h5sf" w:colFirst="0" w:colLast="0"/>
            <w:bookmarkEnd w:id="7"/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Відновлення ланцюжка обчислень виразу на виконання різних дій</w:t>
            </w: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Правильність і доцільність оперування текстовими і числовими даними для розв’язання задачі реального змісту</w:t>
            </w:r>
          </w:p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Записуван</w:t>
            </w: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 xml:space="preserve">ня змодельованої у задачі реальної </w:t>
            </w: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lastRenderedPageBreak/>
              <w:t>ситуації у вигляді нескоротного дробу</w:t>
            </w:r>
          </w:p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bookmarkStart w:id="8" w:name="_heading=h.4d34og8" w:colFirst="0" w:colLast="0"/>
            <w:bookmarkEnd w:id="8"/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>ГЗР 3</w:t>
            </w:r>
          </w:p>
          <w:p w:rsidR="00434E78" w:rsidRDefault="005D0549">
            <w:pPr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 xml:space="preserve">Обґрунтування обраного результату розв’язання проблемної ситуації, описаної у задачі </w:t>
            </w:r>
          </w:p>
          <w:p w:rsidR="00434E78" w:rsidRDefault="005D0549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 xml:space="preserve">Розроблення раціонального плану розв’язання проблемної ситуації </w:t>
            </w:r>
          </w:p>
          <w:p w:rsidR="00434E78" w:rsidRDefault="005D0549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>Вибір, аналіз і порівнянн</w:t>
            </w:r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 xml:space="preserve">я інформації, поданої в таблиці/діаграмі </w:t>
            </w:r>
          </w:p>
          <w:p w:rsidR="00434E78" w:rsidRDefault="00434E78">
            <w:pPr>
              <w:rPr>
                <w:color w:val="C00000"/>
              </w:rPr>
            </w:pPr>
          </w:p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hyperlink r:id="rId8">
              <w:r w:rsidRPr="00434E78">
                <w:rPr>
                  <w:rFonts w:ascii="Times New Roman" w:eastAsia="Times New Roman" w:hAnsi="Times New Roman" w:cs="Times New Roman"/>
                  <w:b/>
                  <w:color w:val="1155CC"/>
                  <w:u w:val="single"/>
                </w:rPr>
                <w:object w:dxaOrig="2240" w:dyaOrig="1458">
                  <v:shape id="_x0000_i1026" type="#_x0000_t75" style="width:76.05pt;height:49.55pt" o:ole="">
                    <v:imagedata r:id="rId9" o:title=""/>
                  </v:shape>
                  <o:OLEObject Type="Embed" ProgID="AcroExch.Document.DC" ShapeID="_x0000_i1026" DrawAspect="Icon" ObjectID="_1762601085" r:id="rId10"/>
                </w:object>
              </w:r>
            </w:hyperlink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23-24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Звичайні дроби з різними знаменниками. Додавання і віднімання звичайних дробів з різними знаменниками.</w:t>
            </w:r>
          </w:p>
        </w:tc>
        <w:tc>
          <w:tcPr>
            <w:tcW w:w="4275" w:type="dxa"/>
          </w:tcPr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Виконує вправи, що передбачають скорочення дробів, зведення дробів до спільного знаменника, порівняння дробів.</w:t>
            </w:r>
          </w:p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Розв’язує вправи та сюжетні задачі, що передбачають додавання, віднімання звичайних дробів</w:t>
            </w:r>
          </w:p>
        </w:tc>
        <w:tc>
          <w:tcPr>
            <w:tcW w:w="1590" w:type="dxa"/>
            <w:vMerge/>
            <w:vAlign w:val="center"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70" w:type="dxa"/>
            <w:vMerge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Мішані дроби. Додавання і віднімання мішаних дробів.</w:t>
            </w:r>
          </w:p>
        </w:tc>
        <w:tc>
          <w:tcPr>
            <w:tcW w:w="4275" w:type="dxa"/>
          </w:tcPr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Розв’язує вправи та сюжетні задачі, що передбачають додавання, віднімання мішаних дробів</w:t>
            </w:r>
          </w:p>
        </w:tc>
        <w:tc>
          <w:tcPr>
            <w:tcW w:w="1590" w:type="dxa"/>
            <w:vMerge/>
            <w:vAlign w:val="center"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70" w:type="dxa"/>
            <w:vMerge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Множення і ділення звичайних дробів.</w:t>
            </w:r>
          </w:p>
        </w:tc>
        <w:tc>
          <w:tcPr>
            <w:tcW w:w="4275" w:type="dxa"/>
          </w:tcPr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Розв’язує  вправи та сюжетні задачі, що передбачають множення і ділення звичайних дробів</w:t>
            </w:r>
          </w:p>
        </w:tc>
        <w:tc>
          <w:tcPr>
            <w:tcW w:w="1590" w:type="dxa"/>
            <w:vMerge/>
            <w:vAlign w:val="center"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70" w:type="dxa"/>
            <w:vMerge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Знаходження дробу від числа і та числа за його дробом</w:t>
            </w:r>
          </w:p>
        </w:tc>
        <w:tc>
          <w:tcPr>
            <w:tcW w:w="4275" w:type="dxa"/>
          </w:tcPr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Розв’язує  вправи та сюжетні задачі, що передбачають знаходження дробу від числа та числа за його дробом</w:t>
            </w:r>
          </w:p>
        </w:tc>
        <w:tc>
          <w:tcPr>
            <w:tcW w:w="1590" w:type="dxa"/>
            <w:vMerge/>
            <w:vAlign w:val="center"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70" w:type="dxa"/>
            <w:vMerge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28-29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Розв’язування сюжетних задач навчального та практичного змісту</w:t>
            </w:r>
          </w:p>
        </w:tc>
        <w:tc>
          <w:tcPr>
            <w:tcW w:w="4275" w:type="dxa"/>
          </w:tcPr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Пригадує  правила порівняння, додавання, віднімання, множення і ділення звичайних дробів, знаходження дробу від числа та числа за його дробом.</w:t>
            </w:r>
          </w:p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Розв’язує вправи та сюжетні задачі, що передбачають додавання, віднімання, множення і ділення звичайних дробів, з</w:t>
            </w:r>
            <w:r>
              <w:rPr>
                <w:rFonts w:ascii="Times New Roman" w:eastAsia="Times New Roman" w:hAnsi="Times New Roman" w:cs="Times New Roman"/>
              </w:rPr>
              <w:t>находження дробу від числа та числа за його дробом</w:t>
            </w:r>
          </w:p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0" w:type="dxa"/>
            <w:vMerge/>
            <w:vAlign w:val="center"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70" w:type="dxa"/>
            <w:vMerge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30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ТДР№2 </w:t>
            </w:r>
          </w:p>
          <w:p w:rsidR="00434E78" w:rsidRDefault="00434E7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Аналіз ТДР№2</w:t>
            </w:r>
          </w:p>
          <w:p w:rsidR="00434E78" w:rsidRDefault="00434E7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  <w:p w:rsidR="00434E78" w:rsidRDefault="00434E7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  <w:p w:rsidR="00434E78" w:rsidRDefault="00434E7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  <w:p w:rsidR="00434E78" w:rsidRDefault="00434E7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  <w:p w:rsidR="00434E78" w:rsidRDefault="00434E7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  <w:p w:rsidR="00434E78" w:rsidRDefault="00434E7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75" w:type="dxa"/>
          </w:tcPr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0" w:type="dxa"/>
            <w:vMerge/>
            <w:vAlign w:val="center"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70" w:type="dxa"/>
            <w:vMerge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15675" w:type="dxa"/>
            <w:gridSpan w:val="6"/>
            <w:shd w:val="clear" w:color="auto" w:fill="D9E2F3"/>
            <w:vAlign w:val="center"/>
          </w:tcPr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Тема 4. Десяткові дроби та дії над ними (12 год) </w:t>
            </w: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bookmarkStart w:id="9" w:name="_heading=h.2s8eyo1" w:colFirst="0" w:colLast="0"/>
            <w:bookmarkEnd w:id="9"/>
            <w:r>
              <w:rPr>
                <w:rFonts w:ascii="Times New Roman" w:eastAsia="Times New Roman" w:hAnsi="Times New Roman" w:cs="Times New Roman"/>
              </w:rPr>
              <w:t>31-32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Тисячні. Запис тисячних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Розрядні доданки</w:t>
            </w:r>
          </w:p>
        </w:tc>
        <w:tc>
          <w:tcPr>
            <w:tcW w:w="4275" w:type="dxa"/>
          </w:tcPr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Розуміє сутність  поняття десяткового дробу</w:t>
            </w:r>
          </w:p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Читає і записує десяткові дроби</w:t>
            </w:r>
          </w:p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Розкладає на розрядні доданки десяткові дроби</w:t>
            </w: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● Визначає значення і розряд кожної цифри в записі десяткового дробу</w:t>
            </w:r>
          </w:p>
        </w:tc>
        <w:tc>
          <w:tcPr>
            <w:tcW w:w="1590" w:type="dxa"/>
            <w:vMerge w:val="restart"/>
            <w:vAlign w:val="center"/>
          </w:tcPr>
          <w:p w:rsidR="00434E78" w:rsidRDefault="005D0549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ТДР №3 з теми «Десяткові дроби та дії над ними»</w:t>
            </w:r>
          </w:p>
        </w:tc>
        <w:tc>
          <w:tcPr>
            <w:tcW w:w="4770" w:type="dxa"/>
            <w:vMerge w:val="restart"/>
          </w:tcPr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ab/>
            </w:r>
          </w:p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>ГЗР 1</w:t>
            </w:r>
          </w:p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 xml:space="preserve"> Правильність та доречність вживання математичної термінології </w:t>
            </w:r>
          </w:p>
          <w:p w:rsidR="00434E78" w:rsidRDefault="00434E7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</w:p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>Виокремлення простішої проблеми у складі пропонованої проблемної ситуації</w:t>
            </w:r>
          </w:p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</w:rPr>
              <w:lastRenderedPageBreak/>
              <w:t xml:space="preserve"> Правильність вибору   можливої форми представлення результату</w:t>
            </w:r>
          </w:p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 xml:space="preserve">Зчитування необхідної інформації для розв’язання  сюжетної  задачі </w:t>
            </w: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ГЗР 2</w:t>
            </w: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Правильність відповідей на запитання щодо  опису компонентів математичного  об’єкту</w:t>
            </w: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 xml:space="preserve">   </w:t>
            </w: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Використання відомих правил та послідовності дій з математичними об’єктами</w:t>
            </w:r>
          </w:p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Виконання  потрібн</w:t>
            </w: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 xml:space="preserve">их  математичних дій для реалізації математичної моделі проблемної ситуації </w:t>
            </w: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 xml:space="preserve"> </w:t>
            </w: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Правильність і доцільність оперування текстовими і числовими даними для розв’язання задачі реального змісту</w:t>
            </w:r>
          </w:p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Використання  відомих правил та послідовності дій з математичними об</w:t>
            </w: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’єктами для розв’язання життєвої проблемної  ситуації.</w:t>
            </w: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>ГЗР 3</w:t>
            </w: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>Застосування раціонального способу розв’язання задачі реального змісту на використання відомих правил</w:t>
            </w:r>
          </w:p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</w:rPr>
              <w:lastRenderedPageBreak/>
              <w:t xml:space="preserve">Порівняння отриманих  результатів  з умовою проблемної ситуації  (оперування грошима  у ситуації купівлі-продажу) та обґрунтування  правильності  отриманого результату </w:t>
            </w: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>Пошук помилок та їх усунення у математичних обчисленнях /умові задачі щодо застосування</w:t>
            </w:r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 xml:space="preserve"> відомого правила </w:t>
            </w: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33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Порівняння десяткових дробів</w:t>
            </w:r>
          </w:p>
        </w:tc>
        <w:tc>
          <w:tcPr>
            <w:tcW w:w="4275" w:type="dxa"/>
          </w:tcPr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Порівнює  десяткові дроби, використовуючи знаки &lt;,&gt; i =</w:t>
            </w:r>
          </w:p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Упорядковує десяткові дроби за зростанням і спаданням</w:t>
            </w:r>
          </w:p>
        </w:tc>
        <w:tc>
          <w:tcPr>
            <w:tcW w:w="1590" w:type="dxa"/>
            <w:vMerge/>
            <w:vAlign w:val="center"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70" w:type="dxa"/>
            <w:vMerge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34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Перетворення десяткового дробу в звичайний або мішаний дріб</w:t>
            </w:r>
          </w:p>
        </w:tc>
        <w:tc>
          <w:tcPr>
            <w:tcW w:w="4275" w:type="dxa"/>
          </w:tcPr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Перетворює десяткові дроби в звичайні або мішані </w:t>
            </w:r>
          </w:p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Виконує  вправи на перехід від скінченного десяткового дробу до звичайного</w:t>
            </w:r>
          </w:p>
        </w:tc>
        <w:tc>
          <w:tcPr>
            <w:tcW w:w="1590" w:type="dxa"/>
            <w:vMerge/>
            <w:vAlign w:val="center"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70" w:type="dxa"/>
            <w:vMerge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Перетворення звичайного та мішаного дробу в десятковий дріб</w:t>
            </w:r>
          </w:p>
        </w:tc>
        <w:tc>
          <w:tcPr>
            <w:tcW w:w="4275" w:type="dxa"/>
          </w:tcPr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Записує мішані дроби у вигляді десяткових дробів</w:t>
            </w:r>
          </w:p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Перетворює звичайні та мішані дроби в десяткові</w:t>
            </w:r>
          </w:p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Виконує  вправи на перехід від звичайного до скінченного десяткового дробу</w:t>
            </w:r>
          </w:p>
        </w:tc>
        <w:tc>
          <w:tcPr>
            <w:tcW w:w="1590" w:type="dxa"/>
            <w:vMerge/>
            <w:vAlign w:val="center"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70" w:type="dxa"/>
            <w:vMerge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Округлення десяткових дробів</w:t>
            </w:r>
          </w:p>
        </w:tc>
        <w:tc>
          <w:tcPr>
            <w:tcW w:w="4275" w:type="dxa"/>
          </w:tcPr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Округлює десяткові дроби </w:t>
            </w:r>
          </w:p>
        </w:tc>
        <w:tc>
          <w:tcPr>
            <w:tcW w:w="1590" w:type="dxa"/>
            <w:vMerge/>
            <w:vAlign w:val="center"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70" w:type="dxa"/>
            <w:vMerge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Додавання і віднімання тисячних</w:t>
            </w:r>
          </w:p>
        </w:tc>
        <w:tc>
          <w:tcPr>
            <w:tcW w:w="4275" w:type="dxa"/>
          </w:tcPr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Додає та віднімає десяткові дроби </w:t>
            </w:r>
          </w:p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Розв’язує вправи та сюжетні задачі, що передбачають додавання і віднімання десяткових  дробів</w:t>
            </w:r>
          </w:p>
        </w:tc>
        <w:tc>
          <w:tcPr>
            <w:tcW w:w="1590" w:type="dxa"/>
            <w:vMerge/>
            <w:vAlign w:val="center"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70" w:type="dxa"/>
            <w:vMerge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Множення і ділення на 10, 100, 1000 Множення і ділення десяткових дробів</w:t>
            </w:r>
          </w:p>
        </w:tc>
        <w:tc>
          <w:tcPr>
            <w:tcW w:w="4275" w:type="dxa"/>
          </w:tcPr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Виконує множення і ділення десяткових дробів</w:t>
            </w:r>
          </w:p>
        </w:tc>
        <w:tc>
          <w:tcPr>
            <w:tcW w:w="1590" w:type="dxa"/>
            <w:vMerge/>
            <w:vAlign w:val="center"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70" w:type="dxa"/>
            <w:vMerge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39-40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ab/>
              <w:t xml:space="preserve">Розв’язування вправ та сюжетних задач, що передбачають математичні дії з десятковими дробами </w:t>
            </w:r>
          </w:p>
        </w:tc>
        <w:tc>
          <w:tcPr>
            <w:tcW w:w="4275" w:type="dxa"/>
          </w:tcPr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Виконує   потрібні   математичні дії з дробами (звичайними, мішаними, десятковими) для реалізації математичної моделі проблемної ситуації  </w:t>
            </w:r>
          </w:p>
        </w:tc>
        <w:tc>
          <w:tcPr>
            <w:tcW w:w="1590" w:type="dxa"/>
            <w:vMerge/>
            <w:vAlign w:val="center"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70" w:type="dxa"/>
            <w:vMerge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41-42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ТДР№3</w:t>
            </w:r>
          </w:p>
          <w:p w:rsidR="00434E78" w:rsidRDefault="00434E7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Аналіз ТДР №3</w:t>
            </w:r>
          </w:p>
          <w:p w:rsidR="00434E78" w:rsidRDefault="00434E7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Підготовка і планування проєкту «БЖВ у раціоні харчування»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4275" w:type="dxa"/>
          </w:tcPr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hyperlink r:id="rId11">
              <w:r w:rsidRPr="00434E78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object w:dxaOrig="2240" w:dyaOrig="1458">
                  <v:shape id="_x0000_i1027" type="#_x0000_t75" style="width:76.05pt;height:49.55pt" o:ole="">
                    <v:imagedata r:id="rId12" o:title=""/>
                  </v:shape>
                  <o:OLEObject Type="Embed" ProgID="Word.Document.12" ShapeID="_x0000_i1027" DrawAspect="Icon" ObjectID="_1762601086" r:id="rId13">
                    <o:FieldCodes>\s</o:FieldCodes>
                  </o:OLEObject>
                </w:object>
              </w:r>
            </w:hyperlink>
          </w:p>
        </w:tc>
        <w:tc>
          <w:tcPr>
            <w:tcW w:w="1590" w:type="dxa"/>
            <w:vMerge/>
            <w:vAlign w:val="center"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70" w:type="dxa"/>
            <w:vMerge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15675" w:type="dxa"/>
            <w:gridSpan w:val="6"/>
            <w:shd w:val="clear" w:color="auto" w:fill="D9E2F3"/>
            <w:vAlign w:val="center"/>
          </w:tcPr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bookmarkStart w:id="10" w:name="_heading=h.17dp8vu" w:colFirst="0" w:colLast="0"/>
            <w:bookmarkEnd w:id="10"/>
            <w:r>
              <w:rPr>
                <w:rFonts w:ascii="Times New Roman" w:eastAsia="Times New Roman" w:hAnsi="Times New Roman" w:cs="Times New Roman"/>
                <w:b/>
              </w:rPr>
              <w:t xml:space="preserve">Тема 5-6. Відсотки.  Відношення і пропорції (13 год) </w:t>
            </w: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Знаходження відсотка від числа</w:t>
            </w:r>
          </w:p>
        </w:tc>
        <w:tc>
          <w:tcPr>
            <w:tcW w:w="4275" w:type="dxa"/>
          </w:tcPr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Розуміє поняття «відсоток»</w:t>
            </w:r>
          </w:p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Знаходить  відсоток від числа</w:t>
            </w:r>
          </w:p>
        </w:tc>
        <w:tc>
          <w:tcPr>
            <w:tcW w:w="1590" w:type="dxa"/>
            <w:vMerge w:val="restart"/>
            <w:vAlign w:val="center"/>
          </w:tcPr>
          <w:p w:rsidR="00434E78" w:rsidRDefault="005D0549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ТДР №4 з теми «Відсотки.  Відношення і пропорції»</w:t>
            </w:r>
          </w:p>
        </w:tc>
        <w:tc>
          <w:tcPr>
            <w:tcW w:w="4770" w:type="dxa"/>
            <w:vMerge w:val="restart"/>
          </w:tcPr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 xml:space="preserve">ГЗР 1 </w:t>
            </w: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>Виокремлення простішої проблеми у складі пропонованої проблемної ситуації</w:t>
            </w:r>
          </w:p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>Правильність вибору   можливої форми представлення результату</w:t>
            </w:r>
          </w:p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 xml:space="preserve">Здійснення переходу від реалізації реальної моделі ситуації до її математичної моделі </w:t>
            </w: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>Правильність та доречність вжив</w:t>
            </w:r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>ання математичної термінології</w:t>
            </w:r>
          </w:p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ГЗР 2</w:t>
            </w: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Правильність і доцільність оперування текстовими і числовими даними для розв’язання задачі реального змісту</w:t>
            </w:r>
          </w:p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 xml:space="preserve">Використання  відомих правил та послідовності дій з математичними об’єктами для розв’язання життєвої </w:t>
            </w: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lastRenderedPageBreak/>
              <w:t>проблемн</w:t>
            </w: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ої  ситуації.</w:t>
            </w:r>
          </w:p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</w:p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bookmarkStart w:id="11" w:name="_heading=h.3rdcrjn" w:colFirst="0" w:colLast="0"/>
            <w:bookmarkEnd w:id="11"/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Правильність використання  математичних методів для розв’язання  життєвих ситуацій.</w:t>
            </w:r>
          </w:p>
          <w:p w:rsidR="00434E78" w:rsidRDefault="00434E7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</w:p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Застосовування відомих правил та  обчислювальних навичок при розв’язуванні</w:t>
            </w:r>
            <w:r>
              <w:rPr>
                <w:rFonts w:ascii="Times New Roman" w:eastAsia="Times New Roman" w:hAnsi="Times New Roman" w:cs="Times New Roman"/>
                <w:b/>
                <w:i/>
                <w:color w:val="0070C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текстових задач з реальним змістом</w:t>
            </w:r>
          </w:p>
          <w:p w:rsidR="00434E78" w:rsidRDefault="00434E78">
            <w:pPr>
              <w:spacing w:after="0"/>
              <w:rPr>
                <w:rFonts w:ascii="Times New Roman" w:eastAsia="Times New Roman" w:hAnsi="Times New Roman" w:cs="Times New Roman"/>
                <w:b/>
                <w:color w:val="0070C0"/>
              </w:rPr>
            </w:pPr>
          </w:p>
          <w:p w:rsidR="00434E78" w:rsidRDefault="005D0549">
            <w:pPr>
              <w:spacing w:after="0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Дотримання ланцюжка обчислень виразу на виконання необхідних математичних  дій</w:t>
            </w:r>
          </w:p>
          <w:p w:rsidR="00434E78" w:rsidRDefault="00434E7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bookmarkStart w:id="12" w:name="_heading=h.26in1rg" w:colFirst="0" w:colLast="0"/>
            <w:bookmarkEnd w:id="12"/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 xml:space="preserve">ГЗР 3 </w:t>
            </w: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>Застосування раціонального способу розв’язання задачі реального змісту на використання відомих правил</w:t>
            </w:r>
          </w:p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C00000"/>
              </w:rPr>
            </w:pP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bookmarkStart w:id="13" w:name="_heading=h.lnxbz9" w:colFirst="0" w:colLast="0"/>
            <w:bookmarkEnd w:id="13"/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>Правильність записування результату розв’язання змодельованої у за</w:t>
            </w:r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>дачі реальної ситуації</w:t>
            </w:r>
          </w:p>
          <w:p w:rsidR="00434E78" w:rsidRDefault="00434E78">
            <w:pPr>
              <w:spacing w:after="0" w:line="226" w:lineRule="auto"/>
              <w:ind w:left="2" w:right="2"/>
              <w:jc w:val="both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bookmarkStart w:id="14" w:name="_heading=h.35nkun2" w:colFirst="0" w:colLast="0"/>
            <w:bookmarkEnd w:id="14"/>
          </w:p>
          <w:p w:rsidR="00434E78" w:rsidRDefault="005D0549">
            <w:pPr>
              <w:spacing w:after="0" w:line="226" w:lineRule="auto"/>
              <w:ind w:left="2" w:right="2"/>
              <w:jc w:val="both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>Обґрунтування та оцінювання  ходу своїх міркувань з огляду на доказовість отриманого результату</w:t>
            </w: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bookmarkStart w:id="15" w:name="_heading=h.1ksv4uv" w:colFirst="0" w:colLast="0"/>
            <w:bookmarkEnd w:id="15"/>
            <w:r>
              <w:rPr>
                <w:rFonts w:ascii="Times New Roman" w:eastAsia="Times New Roman" w:hAnsi="Times New Roman" w:cs="Times New Roman"/>
              </w:rPr>
              <w:t>44</w:t>
            </w:r>
          </w:p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Відсоткове відношення двох чисел </w:t>
            </w:r>
          </w:p>
          <w:p w:rsidR="00434E78" w:rsidRDefault="00434E7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75" w:type="dxa"/>
          </w:tcPr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Розуміє сутність  поняття  “відсоткове відношення двох чисел”</w:t>
            </w:r>
          </w:p>
        </w:tc>
        <w:tc>
          <w:tcPr>
            <w:tcW w:w="1590" w:type="dxa"/>
            <w:vMerge/>
            <w:vAlign w:val="center"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70" w:type="dxa"/>
            <w:vMerge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bookmarkStart w:id="16" w:name="_heading=h.44sinio" w:colFirst="0" w:colLast="0"/>
            <w:bookmarkEnd w:id="16"/>
            <w:r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Розв’язування сюжетних  задач </w:t>
            </w:r>
          </w:p>
        </w:tc>
        <w:tc>
          <w:tcPr>
            <w:tcW w:w="4275" w:type="dxa"/>
          </w:tcPr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Розв’язує  сюжетні   задачі на відсотки</w:t>
            </w:r>
          </w:p>
        </w:tc>
        <w:tc>
          <w:tcPr>
            <w:tcW w:w="1590" w:type="dxa"/>
            <w:vMerge/>
            <w:vAlign w:val="center"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70" w:type="dxa"/>
            <w:vMerge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Поняття відношення і пропорції.</w:t>
            </w:r>
          </w:p>
        </w:tc>
        <w:tc>
          <w:tcPr>
            <w:tcW w:w="4275" w:type="dxa"/>
          </w:tcPr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Розуміє сутність понять “відношення”, “пропорційна залежність»</w:t>
            </w:r>
          </w:p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Формулює означення пропорції</w:t>
            </w:r>
          </w:p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Наводить  приклади  пропорційних величин. </w:t>
            </w: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590" w:type="dxa"/>
            <w:vMerge/>
            <w:vAlign w:val="center"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70" w:type="dxa"/>
            <w:vMerge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47-48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Основна властивість пропорції.</w:t>
            </w:r>
          </w:p>
        </w:tc>
        <w:tc>
          <w:tcPr>
            <w:tcW w:w="4275" w:type="dxa"/>
          </w:tcPr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Формулює і розуміє основну властивість  пропорції.</w:t>
            </w:r>
          </w:p>
        </w:tc>
        <w:tc>
          <w:tcPr>
            <w:tcW w:w="1590" w:type="dxa"/>
            <w:vMerge/>
            <w:vAlign w:val="center"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70" w:type="dxa"/>
            <w:vMerge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bookmarkStart w:id="17" w:name="_heading=h.2jxsxqh" w:colFirst="0" w:colLast="0"/>
            <w:bookmarkEnd w:id="17"/>
            <w:r>
              <w:rPr>
                <w:rFonts w:ascii="Times New Roman" w:eastAsia="Times New Roman" w:hAnsi="Times New Roman" w:cs="Times New Roman"/>
              </w:rPr>
              <w:t>49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Поділ числа та величини у пропорційному відношенні.</w:t>
            </w:r>
          </w:p>
        </w:tc>
        <w:tc>
          <w:tcPr>
            <w:tcW w:w="4275" w:type="dxa"/>
          </w:tcPr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Використовує  пропорції для розв’язування задач на пропорційні величини і пропорційний розподіл.</w:t>
            </w:r>
          </w:p>
        </w:tc>
        <w:tc>
          <w:tcPr>
            <w:tcW w:w="1590" w:type="dxa"/>
            <w:vMerge/>
            <w:vAlign w:val="center"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70" w:type="dxa"/>
            <w:vMerge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50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Пряма та обернена пропорційність.</w:t>
            </w:r>
          </w:p>
        </w:tc>
        <w:tc>
          <w:tcPr>
            <w:tcW w:w="4275" w:type="dxa"/>
          </w:tcPr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Розуміє поняття  “пропорційна залежність”</w:t>
            </w:r>
          </w:p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Виокремлює  пряму  та обернену  пропорційності в конкретних навчальних і життєвих ситуаціях.</w:t>
            </w:r>
          </w:p>
        </w:tc>
        <w:tc>
          <w:tcPr>
            <w:tcW w:w="1590" w:type="dxa"/>
            <w:vMerge/>
            <w:vAlign w:val="center"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70" w:type="dxa"/>
            <w:vMerge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51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Масштаб.</w:t>
            </w:r>
          </w:p>
        </w:tc>
        <w:tc>
          <w:tcPr>
            <w:tcW w:w="4275" w:type="dxa"/>
          </w:tcPr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Знає і розуміє  поняття “масштаб”.</w:t>
            </w:r>
          </w:p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Розв’язує  вправи і сюжетні  задачі, що передбачають використання масштабу</w:t>
            </w:r>
          </w:p>
        </w:tc>
        <w:tc>
          <w:tcPr>
            <w:tcW w:w="1590" w:type="dxa"/>
            <w:vMerge/>
            <w:vAlign w:val="center"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70" w:type="dxa"/>
            <w:vMerge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52-53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Застосування пропорцій та відношень до розв’язування сюжетних задач навчального та практичного змісту</w:t>
            </w:r>
          </w:p>
        </w:tc>
        <w:tc>
          <w:tcPr>
            <w:tcW w:w="4275" w:type="dxa"/>
          </w:tcPr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Розв’язує  вправи і сюжеті задачі, що передбачають знаходження відношення чисел і величин, знаходження невідомого члена пропорції.</w:t>
            </w:r>
          </w:p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0" w:type="dxa"/>
            <w:vMerge/>
            <w:vAlign w:val="center"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70" w:type="dxa"/>
            <w:vMerge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34E78">
        <w:trPr>
          <w:cantSplit/>
          <w:trHeight w:val="2101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54-55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ТДР№4</w:t>
            </w:r>
          </w:p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br/>
              <w:t>Аналіз ТДР№4</w:t>
            </w:r>
          </w:p>
        </w:tc>
        <w:tc>
          <w:tcPr>
            <w:tcW w:w="4275" w:type="dxa"/>
          </w:tcPr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hyperlink r:id="rId14">
              <w:r w:rsidRPr="00434E78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object w:dxaOrig="2240" w:dyaOrig="1458">
                  <v:shape id="_x0000_i1028" type="#_x0000_t75" style="width:76.05pt;height:49.55pt" o:ole="">
                    <v:imagedata r:id="rId15" o:title=""/>
                  </v:shape>
                  <o:OLEObject Type="Embed" ProgID="Word.Document.12" ShapeID="_x0000_i1028" DrawAspect="Icon" ObjectID="_1762601087" r:id="rId16">
                    <o:FieldCodes>\s</o:FieldCodes>
                  </o:OLEObject>
                </w:object>
              </w:r>
            </w:hyperlink>
          </w:p>
        </w:tc>
        <w:tc>
          <w:tcPr>
            <w:tcW w:w="1590" w:type="dxa"/>
            <w:vMerge/>
            <w:vAlign w:val="center"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70" w:type="dxa"/>
            <w:vMerge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15675" w:type="dxa"/>
            <w:gridSpan w:val="6"/>
            <w:shd w:val="clear" w:color="auto" w:fill="D9E2F3"/>
            <w:vAlign w:val="center"/>
          </w:tcPr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Тема 7. Коло і круг ( 5 год)</w:t>
            </w: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56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Поняття кола, дуги, круга, радіуса, діаметра, кругового сектора. </w:t>
            </w:r>
          </w:p>
          <w:p w:rsidR="00434E78" w:rsidRDefault="00434E7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 xml:space="preserve"> </w:t>
            </w:r>
          </w:p>
        </w:tc>
        <w:tc>
          <w:tcPr>
            <w:tcW w:w="4275" w:type="dxa"/>
          </w:tcPr>
          <w:p w:rsidR="00434E78" w:rsidRDefault="005D054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233" w:hanging="1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Виокремлює  на рисунках коло  і круг як елементи  у складі інших фігур. </w:t>
            </w:r>
          </w:p>
          <w:p w:rsidR="00434E78" w:rsidRDefault="005D054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233" w:hanging="1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Наводить  приклади  об’єктів реального світу, які мають форму кола, круга та кругового сектора. </w:t>
            </w:r>
          </w:p>
          <w:p w:rsidR="00434E78" w:rsidRDefault="005D054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233" w:hanging="1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Зображає на рисунках коло і круг, круговий  сектор. </w:t>
            </w:r>
          </w:p>
        </w:tc>
        <w:tc>
          <w:tcPr>
            <w:tcW w:w="1590" w:type="dxa"/>
            <w:vMerge w:val="restart"/>
            <w:vAlign w:val="center"/>
          </w:tcPr>
          <w:p w:rsidR="00434E78" w:rsidRDefault="00434E78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770" w:type="dxa"/>
            <w:vMerge w:val="restart"/>
          </w:tcPr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</w:pP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Число π. Знаходження довжини кола та площі круга. </w:t>
            </w:r>
          </w:p>
          <w:p w:rsidR="00434E78" w:rsidRDefault="00434E7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75" w:type="dxa"/>
          </w:tcPr>
          <w:p w:rsidR="00434E78" w:rsidRDefault="005D054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237" w:hanging="24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Розв’язування вправ і сюжетних задачі, що передбачають знаходження довжини кола і площі круга.</w:t>
            </w:r>
          </w:p>
        </w:tc>
        <w:tc>
          <w:tcPr>
            <w:tcW w:w="1590" w:type="dxa"/>
            <w:vMerge/>
            <w:vAlign w:val="center"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770" w:type="dxa"/>
            <w:vMerge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Розв’язування сюжетних задач навчального та практичного змісту</w:t>
            </w:r>
          </w:p>
          <w:p w:rsidR="00434E78" w:rsidRDefault="00434E7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75" w:type="dxa"/>
          </w:tcPr>
          <w:p w:rsidR="00434E78" w:rsidRDefault="005D054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237" w:hanging="24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Розв’язування сюжетних задач навчального та практичного змісту</w:t>
            </w:r>
          </w:p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0" w:type="dxa"/>
            <w:vMerge/>
            <w:vAlign w:val="center"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70" w:type="dxa"/>
            <w:vMerge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59-60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Експрес-тест №2</w:t>
            </w:r>
          </w:p>
          <w:p w:rsidR="00434E78" w:rsidRDefault="005D0549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 xml:space="preserve">Аналіз експрес-тесту для індивідуального планування  подолання найбільш відчутних освітніх прогалин    </w:t>
            </w:r>
          </w:p>
        </w:tc>
        <w:tc>
          <w:tcPr>
            <w:tcW w:w="4275" w:type="dxa"/>
          </w:tcPr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</w:pPr>
          </w:p>
        </w:tc>
        <w:tc>
          <w:tcPr>
            <w:tcW w:w="1590" w:type="dxa"/>
            <w:vMerge/>
            <w:vAlign w:val="center"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4770" w:type="dxa"/>
            <w:vMerge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15675" w:type="dxa"/>
            <w:gridSpan w:val="6"/>
            <w:shd w:val="clear" w:color="auto" w:fill="D9E2F3"/>
            <w:vAlign w:val="center"/>
          </w:tcPr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Тема 8.  Дані та ймовірність  (12 год )</w:t>
            </w: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bookmarkStart w:id="18" w:name="_heading=h.z337ya" w:colFirst="0" w:colLast="0"/>
            <w:bookmarkEnd w:id="18"/>
            <w:r>
              <w:rPr>
                <w:rFonts w:ascii="Times New Roman" w:eastAsia="Times New Roman" w:hAnsi="Times New Roman" w:cs="Times New Roman"/>
              </w:rPr>
              <w:t>61-62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</w:rPr>
              <w:t>Кругова діаграма</w:t>
            </w:r>
          </w:p>
        </w:tc>
        <w:tc>
          <w:tcPr>
            <w:tcW w:w="4275" w:type="dxa"/>
          </w:tcPr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Доповнює відсутні дані у круговій діаграмі</w:t>
            </w:r>
          </w:p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Дає відповіді на запитання, отримуючи інформацію з кругової діаграми</w:t>
            </w:r>
          </w:p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Обчислює число, яке представляє кожен сектор кругової діаграми</w:t>
            </w:r>
          </w:p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Обчислює частину від цілого. Визначає дані з кругової діаграми</w:t>
            </w:r>
          </w:p>
        </w:tc>
        <w:tc>
          <w:tcPr>
            <w:tcW w:w="1590" w:type="dxa"/>
            <w:vMerge w:val="restart"/>
            <w:vAlign w:val="center"/>
          </w:tcPr>
          <w:p w:rsidR="00434E78" w:rsidRDefault="005D0549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ТДР №5 з теми «Дані та ймовірність»</w:t>
            </w:r>
          </w:p>
        </w:tc>
        <w:tc>
          <w:tcPr>
            <w:tcW w:w="4770" w:type="dxa"/>
            <w:vMerge w:val="restart"/>
          </w:tcPr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bookmarkStart w:id="19" w:name="_heading=h.3j2qqm3" w:colFirst="0" w:colLast="0"/>
            <w:bookmarkEnd w:id="19"/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>ГЗР 1</w:t>
            </w:r>
          </w:p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 xml:space="preserve">Вирізнення математичних даних у запропонованій формі представлення проблемної ситуації та їх зчитування </w:t>
            </w:r>
          </w:p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>Виокремлення простішої проблеми у складі пропонованої проблемної ситуації</w:t>
            </w:r>
          </w:p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5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>Розрізнення  описаної у задачі   події з використанням відповідних математи</w:t>
            </w:r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 xml:space="preserve">чних понять і термінів понять </w:t>
            </w:r>
          </w:p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5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 xml:space="preserve">Правильність застосування відомих правил  для виокремлення описаних  випадків життєвих ситуацій </w:t>
            </w:r>
          </w:p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ГЗР 2</w:t>
            </w: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 xml:space="preserve">Представлення даних умови/результатів розв’язання сюжетної задачі  у вигляді можливих форм </w:t>
            </w:r>
          </w:p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Розв’язання задач реального змісту з  використанням даних, представлених у запропонованій формі</w:t>
            </w:r>
          </w:p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5"/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 xml:space="preserve">Правильність і доцільність оперування текстовими і числовими даними для розв’язання задачі реального змісту з використанням відомих правил </w:t>
            </w:r>
          </w:p>
          <w:p w:rsidR="00434E78" w:rsidRDefault="00434E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</w:p>
          <w:p w:rsidR="00434E78" w:rsidRDefault="005D05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 xml:space="preserve">Застосовування відомих правил та  обчислювальних навичок при </w:t>
            </w:r>
            <w:r>
              <w:rPr>
                <w:rFonts w:ascii="Times New Roman" w:eastAsia="Times New Roman" w:hAnsi="Times New Roman" w:cs="Times New Roman"/>
                <w:b/>
                <w:i/>
                <w:color w:val="0070C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 xml:space="preserve">виконанні вправ за змістом вивченого </w:t>
            </w:r>
          </w:p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5"/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Виконання потрібних  математичних  дій для розв’язання проблемної  ситуації</w:t>
            </w:r>
          </w:p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</w:rPr>
            </w:pP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>ГЗР 3</w:t>
            </w:r>
          </w:p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C00000"/>
              </w:rPr>
            </w:pP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 xml:space="preserve">Застосування раціонального способу </w:t>
            </w:r>
            <w:r>
              <w:rPr>
                <w:rFonts w:ascii="Times New Roman" w:eastAsia="Times New Roman" w:hAnsi="Times New Roman" w:cs="Times New Roman"/>
                <w:b/>
                <w:color w:val="C00000"/>
              </w:rPr>
              <w:lastRenderedPageBreak/>
              <w:t>розв’язання задачі реального змісту на використання відомих правил</w:t>
            </w:r>
          </w:p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5"/>
              <w:jc w:val="both"/>
              <w:rPr>
                <w:rFonts w:ascii="Times New Roman" w:eastAsia="Times New Roman" w:hAnsi="Times New Roman" w:cs="Times New Roman"/>
                <w:b/>
                <w:color w:val="C00000"/>
              </w:rPr>
            </w:pP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 xml:space="preserve">Критичне оцінювання результатів на їх приналежність до бажаних або можливих  </w:t>
            </w:r>
          </w:p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5"/>
              <w:jc w:val="both"/>
              <w:rPr>
                <w:rFonts w:ascii="Times New Roman" w:eastAsia="Times New Roman" w:hAnsi="Times New Roman" w:cs="Times New Roman"/>
                <w:b/>
                <w:color w:val="C00000"/>
              </w:rPr>
            </w:pPr>
          </w:p>
          <w:p w:rsidR="00434E78" w:rsidRDefault="005D0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>Оцінювання результату розв’язання проблемної ситуації, описаної у задачі</w:t>
            </w:r>
          </w:p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</w:pPr>
            <w:hyperlink r:id="rId17">
              <w:r w:rsidRPr="00434E78">
                <w:rPr>
                  <w:color w:val="1155CC"/>
                  <w:u w:val="single"/>
                </w:rPr>
                <w:object w:dxaOrig="2240" w:dyaOrig="1458">
                  <v:shape id="_x0000_i1029" type="#_x0000_t75" style="width:76.05pt;height:49.55pt" o:ole="">
                    <v:imagedata r:id="rId18" o:title=""/>
                  </v:shape>
                  <o:OLEObject Type="Embed" ProgID="AcroExch.Document.DC" ShapeID="_x0000_i1029" DrawAspect="Icon" ObjectID="_1762601088" r:id="rId19"/>
                </w:object>
              </w:r>
            </w:hyperlink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63-64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Ймовірність події </w:t>
            </w:r>
          </w:p>
          <w:p w:rsidR="00434E78" w:rsidRDefault="00434E7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34E78" w:rsidRDefault="00434E7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34E78" w:rsidRDefault="005D0549">
            <w:pPr>
              <w:spacing w:after="0"/>
              <w:jc w:val="both"/>
              <w:rPr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Підготовка і планування проєкту «Гральний кубик- цікаве заняття»</w:t>
            </w:r>
          </w:p>
        </w:tc>
        <w:tc>
          <w:tcPr>
            <w:tcW w:w="4275" w:type="dxa"/>
          </w:tcPr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Вивчає  термінологію, потрібну  для пояснення суті поняття “імовірність випадкової події”.</w:t>
            </w:r>
          </w:p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Наводить  прикладів стохастичних експериментів та випадкових подій, що виникають внаслідок них </w:t>
            </w:r>
          </w:p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Наводить приклади різних подій</w:t>
            </w:r>
          </w:p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Характеризує подію як неможливу, вірог</w:t>
            </w:r>
            <w:r>
              <w:rPr>
                <w:rFonts w:ascii="Times New Roman" w:eastAsia="Times New Roman" w:hAnsi="Times New Roman" w:cs="Times New Roman"/>
              </w:rPr>
              <w:t>ідну, малоймовірну, дуже ймовірну або рівноймовірну</w:t>
            </w:r>
          </w:p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Розуміє, що ймовірність вірогідної події дорівнює 1, ймовірність неможливої події дорівнює 0, а ймовірність рівноймовірних подій дорівнює ½</w:t>
            </w:r>
          </w:p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Характеризує  подію як дуже ймовірну, якщо її ймовірність станов</w:t>
            </w:r>
            <w:r>
              <w:rPr>
                <w:rFonts w:ascii="Times New Roman" w:eastAsia="Times New Roman" w:hAnsi="Times New Roman" w:cs="Times New Roman"/>
              </w:rPr>
              <w:t xml:space="preserve">ить від ½ до 1. </w:t>
            </w:r>
          </w:p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Характеризує подію як малоймовірну, якщо її ймовірність становить від 0 до ½ </w:t>
            </w:r>
          </w:p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Визначає, що ймовірність події є числом від 0    до 1</w:t>
            </w:r>
          </w:p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Розраховує ймовірність події</w:t>
            </w:r>
          </w:p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Виражає ймовірність події у вигляді скороченого дробу</w:t>
            </w:r>
          </w:p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Обчислює  ймовірності подій у найпростіших випадках за класичним означенням імовірності.</w:t>
            </w:r>
          </w:p>
        </w:tc>
        <w:tc>
          <w:tcPr>
            <w:tcW w:w="1590" w:type="dxa"/>
            <w:vMerge/>
            <w:vAlign w:val="center"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770" w:type="dxa"/>
            <w:vMerge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65-66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</w:rPr>
              <w:t>Застосування комбінаторних правил додавання і множення для обчислення ймовірностей події</w:t>
            </w:r>
          </w:p>
        </w:tc>
        <w:tc>
          <w:tcPr>
            <w:tcW w:w="4275" w:type="dxa"/>
          </w:tcPr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Розрізняє випадки застосування комбінаторних правил додавання і множення </w:t>
            </w:r>
          </w:p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Використовує правило додавання для обчислення ймовірностей події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Використовує правило множення  для обчислення ймовірностей події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Застосовує  комбінаторні  правила додавання і множ</w:t>
            </w:r>
            <w:r>
              <w:rPr>
                <w:rFonts w:ascii="Times New Roman" w:eastAsia="Times New Roman" w:hAnsi="Times New Roman" w:cs="Times New Roman"/>
              </w:rPr>
              <w:t>ення для  обчислення ймовірностей подій.</w:t>
            </w:r>
          </w:p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Розв’язує сюжетні задачі на обчислення ймовірностей подій.</w:t>
            </w:r>
          </w:p>
        </w:tc>
        <w:tc>
          <w:tcPr>
            <w:tcW w:w="1590" w:type="dxa"/>
            <w:vMerge/>
            <w:vAlign w:val="center"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770" w:type="dxa"/>
            <w:vMerge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67 -68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</w:rPr>
              <w:t>Середнє арифметичне. Розв’язування вправ і задач реального змісту</w:t>
            </w:r>
          </w:p>
        </w:tc>
        <w:tc>
          <w:tcPr>
            <w:tcW w:w="4275" w:type="dxa"/>
          </w:tcPr>
          <w:p w:rsidR="00434E78" w:rsidRDefault="005D054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Знає і розуміє сутність поняття «середнє  арифметичне число» </w:t>
            </w:r>
          </w:p>
          <w:p w:rsidR="00434E78" w:rsidRDefault="005D054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Знаходить середнє арифметичне значення чисел</w:t>
            </w:r>
          </w:p>
        </w:tc>
        <w:tc>
          <w:tcPr>
            <w:tcW w:w="1590" w:type="dxa"/>
            <w:vMerge/>
            <w:vAlign w:val="center"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770" w:type="dxa"/>
            <w:vMerge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69-70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Середнє значення величини Розв’язування вправ і задач реального змісту </w:t>
            </w:r>
          </w:p>
        </w:tc>
        <w:tc>
          <w:tcPr>
            <w:tcW w:w="4275" w:type="dxa"/>
          </w:tcPr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Розуміє такі поняття, як середня швидкість, середня температура повітря, середня кількість опадів, середня заробітна плата</w:t>
            </w:r>
          </w:p>
          <w:p w:rsidR="00434E78" w:rsidRDefault="005D05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Знаходить середню швидкість, середню температуру повітря, середню кількість опадів, середню заробітну плату у задачах реального змісту</w:t>
            </w:r>
          </w:p>
        </w:tc>
        <w:tc>
          <w:tcPr>
            <w:tcW w:w="1590" w:type="dxa"/>
            <w:vMerge/>
            <w:vAlign w:val="center"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770" w:type="dxa"/>
            <w:vMerge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71-72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ТДР №5</w:t>
            </w:r>
          </w:p>
          <w:p w:rsidR="00434E78" w:rsidRDefault="00434E7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Аналіз ТДР №5</w:t>
            </w:r>
          </w:p>
        </w:tc>
        <w:tc>
          <w:tcPr>
            <w:tcW w:w="4275" w:type="dxa"/>
          </w:tcPr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90" w:type="dxa"/>
            <w:vMerge/>
            <w:vAlign w:val="center"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770" w:type="dxa"/>
            <w:vMerge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34E78">
        <w:trPr>
          <w:cantSplit/>
          <w:trHeight w:val="534"/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434E78" w:rsidRDefault="005D054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73-75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434E78" w:rsidRDefault="00434E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shd w:val="clear" w:color="auto" w:fill="auto"/>
          </w:tcPr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Презентація проєктів:</w:t>
            </w:r>
          </w:p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«Рекламна акція»</w:t>
            </w:r>
          </w:p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«БЖВ у раціоні харчування»</w:t>
            </w:r>
          </w:p>
          <w:p w:rsidR="00434E78" w:rsidRDefault="005D054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«Гральний кубик- цікаве заняття»</w:t>
            </w:r>
          </w:p>
          <w:p w:rsidR="00434E78" w:rsidRDefault="00434E7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75" w:type="dxa"/>
          </w:tcPr>
          <w:p w:rsidR="00434E78" w:rsidRDefault="0043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33" w:hanging="1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90" w:type="dxa"/>
            <w:vMerge/>
            <w:vAlign w:val="center"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770" w:type="dxa"/>
            <w:vMerge/>
          </w:tcPr>
          <w:p w:rsidR="00434E78" w:rsidRDefault="00434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434E78" w:rsidRDefault="00434E78"/>
    <w:sectPr w:rsidR="00434E78" w:rsidSect="00434E78">
      <w:pgSz w:w="16838" w:h="11906" w:orient="landscape"/>
      <w:pgMar w:top="993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8102A"/>
    <w:multiLevelType w:val="multilevel"/>
    <w:tmpl w:val="C1AC7744"/>
    <w:lvl w:ilvl="0">
      <w:start w:val="1"/>
      <w:numFmt w:val="bullet"/>
      <w:lvlText w:val="●"/>
      <w:lvlJc w:val="left"/>
      <w:pPr>
        <w:ind w:left="75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38C1A3E"/>
    <w:multiLevelType w:val="multilevel"/>
    <w:tmpl w:val="D4EC1F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4472B2B"/>
    <w:multiLevelType w:val="multilevel"/>
    <w:tmpl w:val="7F402E8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4F0C3D"/>
    <w:multiLevelType w:val="multilevel"/>
    <w:tmpl w:val="83B401AA"/>
    <w:lvl w:ilvl="0">
      <w:start w:val="1"/>
      <w:numFmt w:val="bullet"/>
      <w:lvlText w:val="●"/>
      <w:lvlJc w:val="left"/>
      <w:pPr>
        <w:ind w:left="7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62E82EC3"/>
    <w:multiLevelType w:val="multilevel"/>
    <w:tmpl w:val="4B22D69C"/>
    <w:lvl w:ilvl="0">
      <w:start w:val="1"/>
      <w:numFmt w:val="bullet"/>
      <w:lvlText w:val="●"/>
      <w:lvlJc w:val="left"/>
      <w:pPr>
        <w:ind w:left="92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4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1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characterSpacingControl w:val="doNotCompress"/>
  <w:compat/>
  <w:rsids>
    <w:rsidRoot w:val="00434E78"/>
    <w:rsid w:val="00434E78"/>
    <w:rsid w:val="005D0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C53"/>
    <w:rPr>
      <w:lang w:eastAsia="uk-UA"/>
    </w:rPr>
  </w:style>
  <w:style w:type="paragraph" w:styleId="Heading1">
    <w:name w:val="heading 1"/>
    <w:basedOn w:val="normal0"/>
    <w:next w:val="normal0"/>
    <w:rsid w:val="00434E7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434E7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434E7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434E7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rsid w:val="00434E78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rsid w:val="00434E7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434E78"/>
  </w:style>
  <w:style w:type="paragraph" w:styleId="Title">
    <w:name w:val="Title"/>
    <w:basedOn w:val="normal0"/>
    <w:next w:val="normal0"/>
    <w:rsid w:val="00434E78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194C5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a">
    <w:name w:val="Немає"/>
    <w:rsid w:val="00194C53"/>
  </w:style>
  <w:style w:type="paragraph" w:customStyle="1" w:styleId="Default">
    <w:name w:val="Default"/>
    <w:rsid w:val="002B44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A874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0"/>
    <w:next w:val="normal0"/>
    <w:rsid w:val="00434E7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"/>
    <w:rsid w:val="00434E78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eDLMjxGbCKBSa4jfF-LOCX5PxwGi7NCv/view?usp=drive_link" TargetMode="External"/><Relationship Id="rId13" Type="http://schemas.openxmlformats.org/officeDocument/2006/relationships/package" Target="embeddings/Microsoft_Office_Word_Document2.docx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package" Target="embeddings/Microsoft_Office_Word_Document1.docx"/><Relationship Id="rId12" Type="http://schemas.openxmlformats.org/officeDocument/2006/relationships/image" Target="media/image3.emf"/><Relationship Id="rId17" Type="http://schemas.openxmlformats.org/officeDocument/2006/relationships/hyperlink" Target="https://drive.google.com/file/d/1AJXVsXamudF54YDVJlAe7YRRzR1TeGIV/view?usp=drive_link" TargetMode="External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Word_Document3.docx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docs.google.com/document/d/1s1MPIFGT35YzXM-oblsImni6pav6Aub1/edit?usp=drive_link&amp;ouid=103907997120343883669&amp;rtpof=true&amp;sd=tru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docs.google.com/document/d/1KN6vYN1eq1aTlAQuMzBWGRcIigwTlMCY/edit?usp=drive_link&amp;ouid=103907997120343883669&amp;rtpof=true&amp;sd=true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MGwFDIrv4cNuNzdGyWQlvVLdfA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4AHIhMW00U01iRDhKUGVqOWJuNjlRMzlWUEQzRXFjQzVIRDd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2525</Words>
  <Characters>14393</Characters>
  <Application>Microsoft Office Word</Application>
  <DocSecurity>0</DocSecurity>
  <Lines>119</Lines>
  <Paragraphs>33</Paragraphs>
  <ScaleCrop>false</ScaleCrop>
  <Company>*</Company>
  <LinksUpToDate>false</LinksUpToDate>
  <CharactersWithSpaces>16885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marija_barna marija_barna</dc:creator>
  <cp:lastModifiedBy>Admin</cp:lastModifiedBy>
  <cp:revision>2</cp:revision>
  <dcterms:created xsi:type="dcterms:W3CDTF">2023-11-27T12:38:00Z</dcterms:created>
  <dcterms:modified xsi:type="dcterms:W3CDTF">2023-11-27T12:38:00Z</dcterms:modified>
</cp:coreProperties>
</file>