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CB" w:rsidRDefault="007276C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Клесівський ліцей</w:t>
      </w:r>
    </w:p>
    <w:p w:rsidR="00A07DCB" w:rsidRDefault="007276CB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Сарненського району</w:t>
      </w:r>
    </w:p>
    <w:p w:rsidR="00A07DCB" w:rsidRDefault="007276CB">
      <w:pPr>
        <w:spacing w:after="0" w:line="240" w:lineRule="auto"/>
        <w:ind w:left="11" w:hanging="1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Рівненської області</w:t>
      </w:r>
    </w:p>
    <w:p w:rsidR="00A07DCB" w:rsidRDefault="007276CB">
      <w:pPr>
        <w:spacing w:after="213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0"/>
        <w:ind w:left="5171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ЗАТВЕРДЖЕНО </w:t>
      </w:r>
    </w:p>
    <w:p w:rsidR="00A07DCB" w:rsidRDefault="007276CB">
      <w:pPr>
        <w:spacing w:after="10" w:line="267" w:lineRule="auto"/>
        <w:ind w:left="5748" w:right="-13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педагогічної ради </w:t>
      </w:r>
    </w:p>
    <w:p w:rsidR="00A07DCB" w:rsidRDefault="007276CB">
      <w:pPr>
        <w:spacing w:after="10" w:line="267" w:lineRule="auto"/>
        <w:ind w:left="5748" w:right="-13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«___» _____ 2024 р., </w:t>
      </w:r>
    </w:p>
    <w:p w:rsidR="00A07DCB" w:rsidRDefault="007276CB">
      <w:pPr>
        <w:spacing w:after="10" w:line="267" w:lineRule="auto"/>
        <w:ind w:left="5748" w:right="-138" w:hanging="1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__        </w:t>
      </w:r>
    </w:p>
    <w:p w:rsidR="00A07DCB" w:rsidRDefault="007276CB">
      <w:pPr>
        <w:spacing w:after="220"/>
        <w:ind w:left="67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18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21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19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76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7DCB" w:rsidRDefault="007276CB">
      <w:pPr>
        <w:spacing w:after="68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ІНФОРМАТИКА </w:t>
      </w:r>
    </w:p>
    <w:p w:rsidR="00A07DCB" w:rsidRDefault="007276CB">
      <w:pPr>
        <w:spacing w:after="10" w:line="267" w:lineRule="auto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НАВЧАЛЬНА ПРОГРАМА ДЛЯ 7 КЛАСУ </w:t>
      </w:r>
    </w:p>
    <w:p w:rsidR="00A07DCB" w:rsidRDefault="007276CB">
      <w:pPr>
        <w:spacing w:after="73"/>
        <w:ind w:left="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DCB" w:rsidRDefault="007276CB">
      <w:pPr>
        <w:spacing w:after="64" w:line="267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Розроблена на основі  модельної програми  </w:t>
      </w:r>
    </w:p>
    <w:p w:rsidR="00A07DCB" w:rsidRDefault="007276CB">
      <w:pPr>
        <w:spacing w:after="10" w:line="267" w:lineRule="auto"/>
        <w:ind w:left="10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«Інформатика. 7-9 класи»</w:t>
      </w:r>
    </w:p>
    <w:p w:rsidR="00A07DCB" w:rsidRDefault="007276CB">
      <w:pPr>
        <w:spacing w:after="10" w:line="267" w:lineRule="auto"/>
        <w:ind w:left="10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закладів загальної середньої освіти</w:t>
      </w:r>
    </w:p>
    <w:p w:rsidR="00A07DCB" w:rsidRDefault="007276CB">
      <w:pPr>
        <w:spacing w:after="10" w:line="267" w:lineRule="auto"/>
        <w:ind w:left="10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(автори Пасічник О.В., Козак Л. З., Ворожбит А. В.)</w:t>
      </w:r>
    </w:p>
    <w:p w:rsidR="00A07DCB" w:rsidRDefault="00A07DCB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DCB" w:rsidRDefault="00A07DCB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DCB" w:rsidRDefault="00A07DCB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DCB" w:rsidRDefault="00A07D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Підручник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«Інформатика. 7 клас.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закладів загальної середньої освіти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Міністерством освіти і науки України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(наказ Міністерства освіти і науки України від 19.03.2024 р. No 356)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 Тріщук Інна та Олександр Лазарець</w:t>
      </w:r>
    </w:p>
    <w:p w:rsidR="00A07DCB" w:rsidRDefault="007276CB">
      <w:pPr>
        <w:spacing w:after="10" w:line="267" w:lineRule="auto"/>
        <w:ind w:left="10" w:right="3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Видавництво «Навчальна книга – Богдан»</w:t>
      </w:r>
    </w:p>
    <w:p w:rsidR="00A07DCB" w:rsidRDefault="00A07DCB">
      <w:pPr>
        <w:spacing w:after="10" w:line="267" w:lineRule="auto"/>
        <w:ind w:left="10" w:right="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7DCB" w:rsidRDefault="00A07DCB">
      <w:pPr>
        <w:spacing w:after="223"/>
        <w:ind w:left="61"/>
        <w:jc w:val="center"/>
      </w:pPr>
    </w:p>
    <w:p w:rsidR="00A07DCB" w:rsidRDefault="007276CB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</w:p>
    <w:p w:rsidR="00A07DCB" w:rsidRDefault="007276CB">
      <w:pPr>
        <w:spacing w:after="263"/>
        <w:ind w:left="61"/>
        <w:jc w:val="center"/>
      </w:pPr>
      <w:r>
        <w:rPr>
          <w:sz w:val="28"/>
          <w:szCs w:val="28"/>
        </w:rPr>
        <w:t xml:space="preserve"> </w:t>
      </w:r>
    </w:p>
    <w:p w:rsidR="00A07DCB" w:rsidRDefault="007276CB">
      <w:pPr>
        <w:spacing w:after="234"/>
        <w:ind w:right="3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Підготувала: І.В. Тріщук</w:t>
      </w:r>
    </w:p>
    <w:p w:rsidR="00A07DCB" w:rsidRDefault="007276CB">
      <w:pPr>
        <w:spacing w:after="223"/>
        <w:ind w:left="61"/>
        <w:jc w:val="center"/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2024-2025 навчальний рік</w:t>
      </w:r>
    </w:p>
    <w:p w:rsidR="00A07DCB" w:rsidRDefault="007276CB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07DCB" w:rsidRDefault="007276CB">
      <w:pPr>
        <w:spacing w:after="87"/>
        <w:ind w:left="47"/>
        <w:jc w:val="center"/>
      </w:pPr>
      <w:r>
        <w:lastRenderedPageBreak/>
        <w:t xml:space="preserve"> </w:t>
      </w:r>
    </w:p>
    <w:p w:rsidR="00A07DCB" w:rsidRDefault="00727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57" w:line="270" w:lineRule="auto"/>
        <w:ind w:left="10" w:right="1" w:firstLine="416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І. Вступ </w:t>
      </w:r>
    </w:p>
    <w:p w:rsidR="00A07DCB" w:rsidRDefault="007276CB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Навчальна програма з інформатики для 7-9 класів закладів загальної середньої освіти  відповідає : </w:t>
      </w:r>
    </w:p>
    <w:p w:rsidR="00A07DCB" w:rsidRDefault="00727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Закону України «Про повну загальну середню освіту» від 16 січня 2020 року № 463IX, </w:t>
      </w:r>
    </w:p>
    <w:p w:rsidR="00A07DCB" w:rsidRDefault="00727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Державному стандарту базової середньої освіти, затвердженого постановою 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абінету Міністрів України від 30 вересня 2020 року № 898 (далі — Державний стандарт), </w:t>
      </w:r>
    </w:p>
    <w:p w:rsidR="00A07DCB" w:rsidRDefault="00727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Типовій освітній програмі для 5–9 класів закладів загальної середньої освіти, затвердженої наказом Міністерства освіти і науки України від 19 лютого 2021 року № 235, </w:t>
      </w:r>
    </w:p>
    <w:p w:rsidR="00A07DCB" w:rsidRDefault="00727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0" w:line="290" w:lineRule="auto"/>
        <w:ind w:left="1134" w:right="-7" w:firstLine="41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модельній програмі «Інформатика.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7-9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класи» для закладів загальної середньої освіти»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(автори Пасічник О.В., Козак Л. З., Ворожбит А. В.)</w:t>
      </w:r>
    </w:p>
    <w:p w:rsidR="00A07DCB" w:rsidRDefault="007276CB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Мета курсу досягається вирішенням завдань щодо реалізації обов'язкових результатів навчання інформатичної освітньої гал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узі, які передбачають, що учень/учениця: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знаходить, аналізує, перетворює, узагальнює, систематизує та подає дані, критично оцінює інформацію для розв’язання життєвих проблем;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створює інформаційні продукти і програми для ефективного розв’язання задач/пр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облем, творчого самовираження індивідуально та у співпраці з іншими особами за допомогою цифрових пристроїв чи без них;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усвідомлено використовує інформаційні та комунікаційні технології і цифрові інструменти для доступу до інформації, спілкування та спів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праці як творець та (або) споживач, а також самостійно опановує нові технології;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усвідомлює наслідки використання інформаційних технологій для себе, суспільства, навколишнього природного середовища, дотримується етичних, культурних і правових норм інформ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аційної взаємодії.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Досягнення обов’язкових результатів навчання визначається на основі компетентнісного підходу. Компетентнісний потенціал курсу «Інформатика (7-9 класи)» відповідає компетентнісному потенціалу інформатичної освітньої галузі, який полягає 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розвитку на уроках інформатики всіх ключових компетентностей, визначених Державним стандартом базової середньої освіти, а саме: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Вільне володіння державною мовою, наприклад, вміння висловлюватись на тему сучасних цифрових технологій з використанням відпо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відної термінології під час вивчення інформаційних систем та мереж; створювати цифрові інформаційні об’єкти державною мовою, вивчаючи технології опрацювання текстів та презентацій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Здатність спілкуватися рідною та іноземними мовами, наприклад, оперу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вати міжнародною термінологією у сфері інформаційних технологій під час вивчення інформаційних систем та мереж; використовувати різні програмні засоби для тлумачення слів, перевірки правопису, перекладу тексту та веб-сторінок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Математична компетентн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ість, наприклад, створювати математичні моделі об’єктів і процесів для розв’язування задач різних предметних галузей засобами цифрових технологій під час розробки власних програмних проєктів; створювати діаграми різних типів засобами цифрових технологій дл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я візуалізації числових даних та їх аналізу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● Компетентності в галузі природничих наук, техніки і технологій, наприклад, визначати загальні фізичні принципи будови і функціонування інформаційних систем і середовищ, цифрових пристроїв під час вивчення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інформаційних систем та мереж; проводити навчальні дослідження природничо-технологічного змісту та комп'ютерні експерименти, створюючи власні програмні проєкти та інформаційні продукти з візуалізацією відповідних результатів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Інноваційність, наприк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лад, генерувати й реалізовувати ідеї з використанням цифрових технологій, опановуючи тематичні розділи змістової лінії “Цифрова творчість”; розпізнавати та описувати поширення цифрових інновацій у науці і суспільстві під час вивчення інформаційних систем 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а мереж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Екологічна компетентність, наприклад, визнання необхідності застосування екологічних засад використання й утилізації цифрових пристроїв під час вивчення інформаційних систем та мереж; усвідомлення впливу інформаційно-комунікаційних технолог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ій і пристроїв на довкілля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Навчання впродовж життя, наприклад, прагнення самостійно опановувати нові інформаційні технології й цифрові інструменти при формуванні власного цифрового середовища; усвідомлення власних досягнень і потреб у навчанні в га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лузі інформаційних технологій тощо;</w:t>
      </w:r>
    </w:p>
    <w:p w:rsidR="00A07DCB" w:rsidRDefault="007276CB">
      <w:pPr>
        <w:spacing w:after="30" w:line="290" w:lineRule="auto"/>
        <w:ind w:left="993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Громадянські та соціальні компетентності, наприклад, дотримуватись принципів цифрового громадянства, співпрацюючи в онлайнових групах та спільнотах; мережевого етикету під час спілкування в інтернеті тощо;</w:t>
      </w:r>
    </w:p>
    <w:p w:rsidR="00A07DCB" w:rsidRDefault="007276CB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Культурна компетентність, наприклад, створювати різнопланові медіапродукти (текстові документи, графічні зображення, презентації, анімації тощо) з використанням інформаційних технологій; враховувати художньо-естетичний аспект у створенні інформаційних пр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одуктів та їх представленні тощо;</w:t>
      </w:r>
    </w:p>
    <w:p w:rsidR="00A07DCB" w:rsidRDefault="007276CB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Підприємливість та фінансова грамотність, наприклад, ідентифікувати можливості цифрових технологій і пристроїв для створення цінностей, ведення діяльності й розвитку підприємливості в контексті виконання власних проєктів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створення інформаційних продуктів тощо;</w:t>
      </w:r>
    </w:p>
    <w:p w:rsidR="00A07DCB" w:rsidRDefault="007276CB">
      <w:pPr>
        <w:spacing w:after="30" w:line="290" w:lineRule="auto"/>
        <w:ind w:left="993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Інформаційно-комунікаційна компетентність, наприклад, розв’язувати проблеми з використанням цифрових пристроїв та технологій для розвитку, власного й суспільного добробуту; використовувати логічне, системне і стр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уктурне мислення для побудови інформаційних моделей і розуміння інформаційної картини світу під час вивчення теми “Інформаційна мозаїка” тощо.</w:t>
      </w:r>
    </w:p>
    <w:p w:rsidR="00A07DCB" w:rsidRDefault="007276CB">
      <w:pPr>
        <w:spacing w:after="30" w:line="290" w:lineRule="auto"/>
        <w:ind w:left="-15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Слід зауважити, що розвиток ключової інформаційно-комунікаційної компетентності, метою якої є впевнене, критичне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 відповідальне використання цифрових технологій для власного розвитку і спілкування; здатність безпечно застосовувати інформаційно-комунікаційні засоби в навчанні та інших життєвих ситуаціях, дотримуючись принципів академічної доброчесності, не є прерогат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ивою виключно інформатичної освітньої галузі та окремого курсу інформатики. Відповідно до Державного стандарту загальної середньої освіти у всіх освітніх галузях, в окремих предметах чи інтегрованих курсах передбачається відповідний зміст, обов'язкові резу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льтати навчання та різні види навчальної діяльності для формування цифрової компетентності учнів, забезпечуючи таким чином її всебічний розвиток, інтегративний характер та метапредметність.</w:t>
      </w:r>
    </w:p>
    <w:p w:rsidR="00A07DCB" w:rsidRDefault="00A07DCB">
      <w:pPr>
        <w:spacing w:after="30" w:line="290" w:lineRule="auto"/>
        <w:ind w:left="-15" w:right="-7"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7276CB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Програма реалізує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мету інформатичної освітньої галузі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відповідно до вимог Державного освітнього стандарту: розвиток особистості учня, здатного використовувати цифрові інструменти і технології для розв‘язування проблем, розвитку, творчого самовираження, забезпечення власного і суспільного добробуту, критично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мислити, безпечно та відповідально діяти в інформаційному суспільстві.   </w:t>
      </w:r>
    </w:p>
    <w:p w:rsidR="00A07DCB" w:rsidRDefault="007276CB">
      <w:pPr>
        <w:spacing w:after="30" w:line="290" w:lineRule="auto"/>
        <w:ind w:left="-15" w:right="-7" w:firstLine="41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Програма ґрунтується на реалізації провідних освітніх підходів до  цифрового громадянства, інфомедійної грамотності та STEM-освіти.  Очікувані результати навчання можуть бути досягну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ті через зміст та пропоновані види навчальної діяльності, які об‘єднані у три концепти: комп‘ютер як напрямок науки, комп‘ютер як інструмент, комп‘ютер у суспільстві, що реалізуються 4-ма змістовними лініями: інформація, дані, моделі;  цифрові пристрої; ци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фрова творчість; безпека та відповідальність.  У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результаті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навчання учень/учениця: </w:t>
      </w:r>
    </w:p>
    <w:p w:rsidR="00A07DCB" w:rsidRDefault="00727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5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знаходить, аналізує, перетворює, узагальнює, систематизує та подає дані, критично оцінює інформацію для розв‘язання життєвих проблем; </w:t>
      </w:r>
    </w:p>
    <w:p w:rsidR="00A07DCB" w:rsidRDefault="00727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створює інформаційні продукти і прог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рами для ефективного розв‘язання задач/проблем, творчого самовираження індивідуально та у співпраці з іншими особами за допомогою цифрових пристроїв чи без них; </w:t>
      </w:r>
    </w:p>
    <w:p w:rsidR="00A07DCB" w:rsidRDefault="00727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усвідомлено використовує інформаційні та комунікаційні технології і цифрові інструменти для доступу до інформації, спілкування та співпраці як творець та (або) споживач, а також самостійно опановує нові технології; </w:t>
      </w:r>
    </w:p>
    <w:p w:rsidR="00A07DCB" w:rsidRDefault="00727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7" w:line="251" w:lineRule="auto"/>
        <w:ind w:left="156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усвідомлює наслідки використання інформа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ційних технологій для себе, суспільства, навколишнього природного середовища, дотримується етичних, культурних і правових норм інформаційної взаємодії. </w:t>
      </w:r>
    </w:p>
    <w:p w:rsidR="00A07DCB" w:rsidRDefault="007276CB">
      <w:pPr>
        <w:spacing w:after="67" w:line="251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Досягнення обов’язкових результатів навчання визначається на основі компетентнісного підходу. Компетент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нісний потенціал курсу «Інформатика (7-9 класи)» відповідає компетентнісному потенціалу інформатичної освітньої галузі, який полягає у розвитку на уроках інформатики всіх ключових компетентностей та наскрізних умінь, визначених Державним стандартом базової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середньої освіти.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Інформатичним внеском у реалізацію STEM-проєктів є обчислювальне мислення, як підхід до формулювання та пошуку рішень задач таким чином, щоб до їх розв'язання залучити можливості комп'ютерних систем. Конкретні методи обчислювального мисл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ення включають:</w:t>
      </w:r>
    </w:p>
    <w:p w:rsidR="00A07DCB" w:rsidRDefault="007276CB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декомпозицію, як вміння розбивати задачу на окремі кроки чи етапи, і зворотний процес утворення складного рішення з окремих частин;</w:t>
      </w:r>
    </w:p>
    <w:p w:rsidR="00A07DCB" w:rsidRDefault="007276CB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● виявлення шаблонів, тобто схожих елементів чи їх особливостей, що дозволяє робити прогнози чи знаходити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спільні рішення різних задач;</w:t>
      </w:r>
    </w:p>
    <w:p w:rsidR="00A07DCB" w:rsidRDefault="007276CB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абстрагування, тобто вміння узагальнити інформацію, необхідну для розв'язання задачі, і відкинути зайві деталі;</w:t>
      </w:r>
    </w:p>
    <w:p w:rsidR="00A07DCB" w:rsidRDefault="007276CB">
      <w:pPr>
        <w:spacing w:after="67" w:line="251" w:lineRule="auto"/>
        <w:ind w:left="1701" w:hanging="4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● розробку алгоритму, як покрокової стратегії розв'язання задачі.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Ці поняття мають стати пріоритетом, фокусом пр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едметної уваги на уроках інформатики, впродовж опанування учнями різних тем, від створення програмних проєктів до вивчення інформаційних систем та дослідження застосування моделювання для розв’язання задач.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Змістові лінії курсу “Інформатика (5-6 класи) виз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начено відповідно до основних завдань реалізації інформатичної освітньої галузі:</w:t>
      </w:r>
    </w:p>
    <w:p w:rsidR="00A07DCB" w:rsidRDefault="00A07D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1. Інформація. Дані. Моделі.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 Цифрова творчість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3. Цифрові пристрої</w:t>
      </w:r>
    </w:p>
    <w:p w:rsidR="00A07DCB" w:rsidRDefault="007276CB">
      <w:pPr>
        <w:spacing w:after="67" w:line="251" w:lineRule="auto"/>
        <w:ind w:firstLine="416"/>
        <w:rPr>
          <w:rFonts w:ascii="Times New Roman" w:eastAsia="Times New Roman" w:hAnsi="Times New Roman" w:cs="Times New Roman"/>
          <w:color w:val="0D0D0D"/>
          <w:sz w:val="24"/>
          <w:szCs w:val="24"/>
        </w:rPr>
        <w:sectPr w:rsidR="00A07DCB">
          <w:footerReference w:type="even" r:id="rId8"/>
          <w:footerReference w:type="default" r:id="rId9"/>
          <w:footerReference w:type="first" r:id="rId10"/>
          <w:pgSz w:w="11906" w:h="16838"/>
          <w:pgMar w:top="634" w:right="561" w:bottom="709" w:left="709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4. Безпека та відповідальність </w:t>
      </w:r>
    </w:p>
    <w:p w:rsidR="00A07DCB" w:rsidRDefault="00727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ІІ. Зміст навчання інформатики </w:t>
      </w:r>
    </w:p>
    <w:tbl>
      <w:tblPr>
        <w:tblStyle w:val="a5"/>
        <w:tblW w:w="13890" w:type="dxa"/>
        <w:tblInd w:w="-108" w:type="dxa"/>
        <w:tblLayout w:type="fixed"/>
        <w:tblLook w:val="0400"/>
      </w:tblPr>
      <w:tblGrid>
        <w:gridCol w:w="3195"/>
        <w:gridCol w:w="2820"/>
        <w:gridCol w:w="3765"/>
        <w:gridCol w:w="4110"/>
      </w:tblGrid>
      <w:tr w:rsidR="00A07DCB">
        <w:trPr>
          <w:cantSplit/>
          <w:trHeight w:val="562"/>
          <w:tblHeader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Блок, тема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Змістові лінії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Діяльність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Очікувані результати </w:t>
            </w:r>
          </w:p>
        </w:tc>
      </w:tr>
      <w:tr w:rsidR="00A07DCB">
        <w:trPr>
          <w:cantSplit/>
          <w:trHeight w:val="521"/>
          <w:tblHeader/>
        </w:trPr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CB" w:rsidRDefault="00A07DCB"/>
        </w:tc>
        <w:tc>
          <w:tcPr>
            <w:tcW w:w="6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07DCB" w:rsidRDefault="007276CB">
            <w:pPr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Персональний цифровий простір</w:t>
            </w:r>
          </w:p>
          <w:p w:rsidR="00A07DCB" w:rsidRDefault="007276CB">
            <w:pPr>
              <w:ind w:left="184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r>
              <w:rPr>
                <w:i/>
                <w:sz w:val="28"/>
                <w:szCs w:val="28"/>
              </w:rPr>
              <w:t xml:space="preserve">3 год , якщо тижневе навантаження 1  година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CB" w:rsidRDefault="00A07DCB"/>
        </w:tc>
      </w:tr>
      <w:tr w:rsidR="00A07DCB">
        <w:trPr>
          <w:cantSplit/>
          <w:trHeight w:val="3598"/>
          <w:tblHeader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Цифрове робоче місце. Види та можливості сучасних комп'ютерів. Архітектура та елементна база цифрових пристроїв. Процесор. Пам'ять. Кодування даних на цифрових носіях.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Пристрої введення та виведення даних. Драйвери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Апгрейд та проблеми утилізації електронн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сміття.  Поняття про файлову системи та її види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дисків для роботи та їх обслуговування. Поняття про логічні та фізичні ушкодження дисків.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Операційна система та її складові. Спеціальні функції операційної системи для користувачів з особливи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потребами.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Авторське право на програмного забезпечення. Ліцензії та їх види. Поняття ліцензійного ключа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Сумісність програмного забезпечення. Автозавантаження. Оновлення програмного забезпечення.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Проблеми зберігання даних та їх вирішення. Втрата даних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причини, способи запобігання. Резервне копіювання даних на цифрових пристроях та у хмарних сервісах.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Архівування даних. Поняття про методи стиснення даних.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Віруси та антивірусні програми. Брандмауер.Захист власного цифрового середовища від зловмисних 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Інформація. Дані. Моделі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br/>
              <w:t>Група вмінь Цифрова творчість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Цифрове середовище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Безпека та відповідальність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Вибір цифрового середовища для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розв'язання задачі.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Дослідження можливостей та функцій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цифрових пристроїв.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Пояснення інформаційних процесів,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які відбуваються у різних сферах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життєдіяльності.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Вибір ресурсів та технологій для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здійснення інформаційних процесів.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Підключення до мережі різних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пристроїв. Налаштування підключень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різних типів.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Використання смартфону для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досліджень (за допомогою вбудованих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нього пристроїв і відповідних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застосунків).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облікового запису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користувача цифрового пристрою.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підключення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(доступних) пристроїв до мережі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Інтернет.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Синхронізація та резервне збереження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даних.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параметрів безпеки та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конфіденційності облікового запису.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Налаштування розширень браузера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захищеної та продуктивної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Порівняння способів збереження і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впорядкування результатів пошуку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даних в мережі.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Анотація інформаційних джерел.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надійності джерел.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 власних критеріїв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надійності джерел.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Розпізнавання хибних та упереджених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тверджень в повідомленнях,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маніпулятивних прийомів та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пропаганди, мови ворожнечі тощо.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факту редагування фото,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зображень, аудіо, відео.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 портфоліо власного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цифрового образу.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і погодження правил роботи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 взаємодії в цифровому середовищі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(вдома, в школі, на дозвіллі).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Інформація. Дані. Моделі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називає широкий спектр професій і галузей, зокрема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міждисциплінарних, у яких використовуються цифрові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технології [9 ІФО 1.1.1-1]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розпізнає інформаційні процеси в навчальних чи життєвих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задачах, пояснює їх сутність [9 ІФО 1.2.1-1]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добирає ресурси і технолог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ії для здійснення інформаційних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процесів [9 ІФО 1.2.1-3]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створює анотовані списки інформаційних джерел [9 ІФО 1.2.3-4]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розпізнає сильні і слабкі аргументи щодо оцінювання джерел 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даних в альтернативних поглядах [9 ІФО 1.4.1-3]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описує вплив та ризики викор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истання ненадійної чи спотвореної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інформації на прийняття рішень чи емоційний стан адресатів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1.4.3-1]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Цифрова творчість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розробляє правила роботи групи і дотримується їх [9 ІФО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2.5.1-2]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Цифрове середовище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цікавиться новими циф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ровими пристроями, їх можливостями 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функціями та досліджує їх [9 ІФО 3.1.1-1]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розробляє і застосовує критерії для оцінювання і вибору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комп’ютерної системи та/або її компонентів для заданої задачі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3.1.1-3]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пояснює функціональне призначення, основні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характеристики та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взаємозв’язок складових інформаційних систем, зокрема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роботизованих, і мереж [9 ІФО 3.1.2-1]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визначає власні інформаційні потреби, збирає і використовує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зворотний зв’язок для визначення інформаційних потреб інших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осіб [9 ІФО 3.2.1-1]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розрізняє інформаційні середовища різного призначення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3.2.1-2]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пояснює будову простої локальної (домашньої, персональної)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мережі [9 ІФО 3.3.1-1]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зберігає резервну копію файлів на зовнішніх носіях чи у хмарних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сервісах, синхронізує їх [9 ІФО 3.3.1-7]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Безпека та відповідальність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наводить приклади переваг і небезпек використання цифрових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технологій для навколишнього середовища і добробуту в нових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ситуаціях [9 ІФО 4.1.1-1]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пояснює способи зменшення ризиків і загроз фізичному,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психічному і соц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іальному здоров’ю через користування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цифровими пристроями та Інтернетом [9 ІФО 4.1.1-2]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не споживає і не поширює інформаційне сміття цифрового і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нецифрового формату [9 ІФО 4.1.1-3]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демонструє відповідальну поведінку, поводиться розважливо в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Інтернеті та за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стосовує кілька способів захисту себе та інших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осіб від порушень прав людини з використанням інформаційних</w:t>
            </w:r>
          </w:p>
          <w:p w:rsidR="00A07DCB" w:rsidRDefault="007276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та комунікаційних технологій [9 ІФО 4.2.1-3]</w:t>
            </w:r>
          </w:p>
          <w:p w:rsidR="00A07DCB" w:rsidRDefault="00A07DCB">
            <w:pPr>
              <w:ind w:right="1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A07DCB" w:rsidRDefault="00A07DCB">
      <w:pPr>
        <w:tabs>
          <w:tab w:val="left" w:pos="3768"/>
        </w:tabs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a6"/>
        <w:tblpPr w:leftFromText="180" w:rightFromText="180" w:vertAnchor="page" w:horzAnchor="margin" w:tblpX="-289"/>
        <w:tblW w:w="13890" w:type="dxa"/>
        <w:tblLayout w:type="fixed"/>
        <w:tblLook w:val="0400"/>
      </w:tblPr>
      <w:tblGrid>
        <w:gridCol w:w="3120"/>
        <w:gridCol w:w="3450"/>
        <w:gridCol w:w="3555"/>
        <w:gridCol w:w="3765"/>
      </w:tblGrid>
      <w:tr w:rsidR="00A07DCB">
        <w:trPr>
          <w:cantSplit/>
          <w:trHeight w:val="976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Змістові лінії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A07DCB">
        <w:trPr>
          <w:cantSplit/>
          <w:trHeight w:val="518"/>
          <w:tblHeader/>
        </w:trPr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jc w:val="center"/>
              <w:rPr>
                <w:b/>
              </w:rPr>
            </w:pPr>
            <w:r>
              <w:rPr>
                <w:b/>
              </w:rPr>
              <w:t>Тема 2. Цифрове середовище для навчання та співпраці</w:t>
            </w:r>
          </w:p>
          <w:p w:rsidR="00A07DCB" w:rsidRDefault="007276CB">
            <w:pPr>
              <w:jc w:val="center"/>
              <w:rPr>
                <w:b/>
              </w:rPr>
            </w:pPr>
            <w:r>
              <w:rPr>
                <w:b/>
              </w:rPr>
              <w:t>(5  год, якщо тижневе навантаження 1 година)</w:t>
            </w:r>
          </w:p>
        </w:tc>
      </w:tr>
      <w:tr w:rsidR="00A07DCB">
        <w:trPr>
          <w:cantSplit/>
          <w:trHeight w:val="3046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Огляд операційних систем для різних пристроїв. Види програмного забезпечення (десктопні, застосунки, онлайнові версії). Встановлення програмного забезпечення.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Браузер. Порівняння браузерів. Налаштування. Розширення браузера. Облікові записи браузера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Хмарні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сервіси. Моделі надання хмарних сервісів (IaaS, PaaS, SaaS). Рівні доступу до мережевих документів. Інтеграція сервісів. Резервна копія файлів. Синхронізація. Обмін файлами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Види прикладних програм: текстові та графічні редактори, електронні таблиці тощо.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Власний віртуальний образ. Цифрова взаємодія, вплив на інших осіб. Налаштування облікового запису. Авторизація. Верифікація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Месенджери та відеоконференції. Правила нетикету. Соціальні мережі. Ігрові платформи. Кібербулінг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“Цифрові пристрої”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A07DCB" w:rsidRDefault="00A07DCB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Дослідження операційних систем для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різних пристроїв.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Класифікація програмного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забезпечення за 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идами,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призначенням, сумісністю тощо.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Встановлення програмних засобів відповідно до потреб, з урахуванням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обмежень.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Налаштування браузера для своїх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потреб. Порівняння налаштувань в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різних браузерах. Представлення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результатів групової діяльності.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Дослідження моделей хмарних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сервісів, переваг і небезпек їх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використання.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Налаштування рівнів доступу до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мережевих документів різних типів.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Моделювання ключових процесів, що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лежать в основі онлайн-сервісів.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Збереження резервної копії файлів у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хмарних серві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сах, їх синхронізація.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Обмін файлами у мережі.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Створення, збереження та експорт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файлів в прикладних програмах.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Перетворення з одного типу файлу в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інший.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Формування запитів (промтів) для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систем штучного інтелекту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Налаштування сервісів для створення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власного віртуального образу.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Дослідження їх ризиків та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можливостей.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Налаштування безпеки облікового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запису.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Досягнення домовленості щодо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правил взаємодії, наприклад на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онлайн-уроці.</w:t>
            </w:r>
          </w:p>
          <w:p w:rsidR="00A07DCB" w:rsidRDefault="00A07DCB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Інформація. Дані. Моделі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оцінює власний досвід інформаційної взаємодії, самовираження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через цифрові технології, вплив власної цифрової діяльності на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інших осіб [9 ІФО 1.1.2-1]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описує, як інформаційні технології сприяють чи перешкоджають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новим формам досвіду, самовираженню, спілкув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анню і співпраці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1.1.2-3]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пристосовує ключові слова і прості стратегії пошуку, зокрема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розширеного, для пошуку відповідної інформації [9 ІФО 1.2.3-1]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зберігає попередні результати пошуку з використанням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гіперпосилань чи закладок на сайт [9 ІФО 1.2.3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-3]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застосовує базові прийоми збирання наборів даних різних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обсягів і типів [9 ІФО 1.2.3-5]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використовує запропоновані та самостійно шукає додаткові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ресурси для перевірки сумнівної інформації [9 ІФО 1.4.1-1]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користується наданими і пропонує свої критерії щ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одо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оцінювання надійності інформаційних джерел [9 ІФО 1.4.1-2]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називає кілька маніпулятивних прийомів і поширених технік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пропаганди, здійснюваних засобами цифрових технологій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1.4.3-2]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розпізнає хибні та упереджені твердження в інформаційних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повідомленнях [9 ІФО 1.4.3-4]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Цифрова творчість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інтегрує використання засобів опрацювання електронних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документів різних типів [9 ІФО 2.4.3-9]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пропонує різні цифрові інструменти і технології для організації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групової роботи над спільним інформаці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йним продуктом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2.5.2-1]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аргументовано обирає цифрові інструменти і технології для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представлення та обговорення результатів групової діяльності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2.5.2-2]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пояснює вплив особистісних характеристик на взаємодію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учасників групи [9 ІФО 2.5.3-1]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називає критерії співробітництва у груповій діяльності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2.5.4-2]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Цифрове середовище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використовує створене цифрове середовище для підтримки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особистої продуктивності, усунення прогалин у навичках,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пошуку розв’язання проблем, вдосконалення 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нформаційного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середовища, самостійного навчання та задоволення власних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інтересів [9 ІФО 3.2.1-4]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створює онлайн-документи для спільного використання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3.3.1-3]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розрізняє рівні доступу до мережних документів, застосовуючи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їх до документів різних типів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3.3.1-4]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аргументовано вибирає доречний онлайн-сервіс для цифрової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комунікації та співпраці з урахуванням мети і аудиторії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спілкування [9 ІФО 3.3.1-5]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налаштовує обліковий запис онлайн-сервісу (зокрема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електронну скриньку) [9 ІФО 3.3.1-6]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зберігає резервну копію файлів на зовнішніх носіях чи у хмарних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сервісах, синхронізує їх [9 ІФО 3.3.1-7]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Безпека та відповідальність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обговорює вплив поширюваного цифрового контенту, контактів 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поведінки у онлайн- спілкуванні [9 ІФО 4.1.2-1]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лаштовує цифрові сервіси для створення власного віртуального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образу [9 ІФО 4.1.3-1]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враховує/ називає ризики і можливості створення різних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віртуальних образів (своїх та інших осіб) [9 ІФО 4.1.3-2]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вирізняє мову ворожнечі, висловлювань, які принижують чи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скредитують людину або групу осіб [9 ІФО 4.2.1-2]</w:t>
            </w: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632"/>
        <w:tblW w:w="13890" w:type="dxa"/>
        <w:tblLayout w:type="fixed"/>
        <w:tblLook w:val="0400"/>
      </w:tblPr>
      <w:tblGrid>
        <w:gridCol w:w="3120"/>
        <w:gridCol w:w="2310"/>
        <w:gridCol w:w="3990"/>
        <w:gridCol w:w="4470"/>
      </w:tblGrid>
      <w:tr w:rsidR="00A07DCB">
        <w:trPr>
          <w:cantSplit/>
          <w:trHeight w:val="976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Блок, тема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Змістові лінії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Діяльність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:rsidR="00A07DCB" w:rsidRDefault="007276CB">
            <w:pPr>
              <w:ind w:left="26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Очікувані результати </w:t>
            </w:r>
          </w:p>
        </w:tc>
      </w:tr>
      <w:tr w:rsidR="00A07DCB">
        <w:trPr>
          <w:cantSplit/>
          <w:trHeight w:val="518"/>
          <w:tblHeader/>
        </w:trPr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jc w:val="center"/>
              <w:rPr>
                <w:b/>
              </w:rPr>
            </w:pPr>
            <w:r>
              <w:rPr>
                <w:b/>
              </w:rPr>
              <w:t>Тема 3. Візуальний контент</w:t>
            </w:r>
          </w:p>
          <w:p w:rsidR="00A07DCB" w:rsidRDefault="007276CB">
            <w:pPr>
              <w:jc w:val="center"/>
              <w:rPr>
                <w:b/>
              </w:rPr>
            </w:pPr>
            <w:r>
              <w:rPr>
                <w:b/>
              </w:rPr>
              <w:t>(3  год, якщо тижневе навантаження 1 година)</w:t>
            </w:r>
          </w:p>
        </w:tc>
      </w:tr>
      <w:tr w:rsidR="00A07DCB">
        <w:trPr>
          <w:cantSplit/>
          <w:trHeight w:val="3046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Кодування графічних даних. Типи файлів з графічними даними. Програмні засоби створення візуального контенту. Генерування зображень в мережі. Етичність і відповідальність при використанні генерованого контенту.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інформаційних продуктів. Ліцензії на вик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ористання інформаційних продуктів.  Поняття про статичну і динамічну графіку. Поняття доповненої реальності, інструменти її створення та використання.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Сайт-портфоліо. 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DCB" w:rsidRDefault="00A07D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“Інформація. Дані.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Моделі”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Змістова лінія “Цифрова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творчість”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містова лінія “Цифрові пристрої”</w:t>
            </w:r>
          </w:p>
          <w:p w:rsidR="00A07DCB" w:rsidRDefault="00A07D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Змістова лінія 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“Безпека та</w:t>
            </w:r>
          </w:p>
          <w:p w:rsidR="00A07DCB" w:rsidRDefault="007276CB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відповідальність”</w:t>
            </w:r>
          </w:p>
          <w:p w:rsidR="00A07DCB" w:rsidRDefault="00A07DCB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Пошук та генерування зображень в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інтернеті.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 та редагування зображень.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Збереження графічних зображень у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різних форматах.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Конвертація графічних даних.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Добір програмного засобу для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 інформаційного продукту.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Вибір ліцензії на використання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інформаційного продукту.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 інформаційних продуктів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(презентації, постери, плакати, афіші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тощо).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 продукту доповненої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реальності.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Створення й публікація веб-сайту на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основі доступного шаблону.</w:t>
            </w: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Інформація. Дані. Моделі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називає широкий спектр професій і галузей, зокрема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міждисциплінарних, у яких використовуються цифрові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технології [9 ІФО 1.1.1-1]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пристосовує ключові слова і прості стратегії пошуку, зокрема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розширеного, для пошуку відповідної інформації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1.2.3-1]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пояснює сутність методу кодування [9 ІФО 1.2.4-1]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виконує кодування даних різних типів згідно з окресленими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правилами [9 ІФО 1.2.4-2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пояснює принципи представлення та опрацювання даних різних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типів (числа, текст, звуки, зображення) у двійковому та інших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видах кодування [9 ІФО 1.2.4-3]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візуально представляє дані, обґрунтовує вибраний спосіб 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реалізовує його за допомогою цифрових техно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логій для систем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реального та віртуального світу [9 ІФО 1.2.5-1]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підтверджує/спростовує факт редагування фото, зображень,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аудіо, відео тощо за допомогою цифрових інструментів 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технологій [9 ІФО 1.4.2-1]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Цифрова творчість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обирає та комбінує ряд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текстів, зображень, звуків, анімацій, відео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тощо для проектування, розробки, публікації та представлення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інформаційних продуктів і виконання творчих і навчальних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проектів [9 ІФО 2.4.1-1]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аналізує можливості програмних засобів для створення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інформаційних п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родуктів для опрацювання стандартних типів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даних за власними критеріями, самостійно вивчає нові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[9 ІФО 2.4.2-1]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аргументовано обирає і використовує програмні засоби та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технології для створення і удосконалення інформаційних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продуктів [9 ІФО 2.4.2-2]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створює інформаційні продукти в різних режимах (он-лайн,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оф-лайн), опрацьовує та зберігає їх у різних форматах [9 ІФО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2.4.3-1]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аргументовано обирає і застосовує засоби для побудови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малюнків різних типів у різних графічних редакторах [9 ІФО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2.4.3-3]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визначає відповідність змісту і вигляду інформаційного продукту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цільовій аудиторії, збирає відгуки користувачів для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вдосконалення продукту [9 ІФО 2.4.3-10]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пропонує власні критерії оформлення і якості інформаційних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продуктів [9 ІФО 2.4.3-11]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складає план р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оботи створення інформаційного продукту,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визначає кроки і ролі учасників, враховуючи якості та здібності,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необхідні для виконання різних задач [9 ІФО 2.5.1-1]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Цифрове середовище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налаштовує обліковий запис онлайн-сервісу (зокрема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електронну скри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ньку) [9 ІФО 3.3.1-6]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Група вмінь Безпека та відповідальність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налаштовує цифрові сервіси для створення власного віртуального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образу [9 ІФО 4.1.3-1]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наводить приклади наслідків порушення прав інтелектуальної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власності [9 ІФО 4.3.2-2]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аргументовано обирає лі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цензію для створених інформаційних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продуктів [9 ІФО 4.3.2-4]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розуміє ліцензійні (правові та етичні) обмеження на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використання та редагування власних і чужих інформаційних</w:t>
            </w:r>
          </w:p>
          <w:p w:rsidR="00A07DCB" w:rsidRDefault="007276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продуктів [9 ІФО 4.3.2-6]</w:t>
            </w: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  <w:p w:rsidR="00A07DCB" w:rsidRDefault="00A07DCB">
            <w:pPr>
              <w:ind w:right="154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ind w:left="-1418" w:right="1088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dt>
      <w:sdtPr>
        <w:tag w:val="goog_rdk_0"/>
        <w:id w:val="1713482004"/>
        <w:lock w:val="contentLocked"/>
      </w:sdtPr>
      <w:sdtContent>
        <w:tbl>
          <w:tblPr>
            <w:tblStyle w:val="a8"/>
            <w:tblpPr w:leftFromText="180" w:rightFromText="180" w:vertAnchor="page" w:horzAnchor="margin" w:tblpY="316"/>
            <w:tblW w:w="13890" w:type="dxa"/>
            <w:tblLayout w:type="fixed"/>
            <w:tblLook w:val="0400"/>
          </w:tblPr>
          <w:tblGrid>
            <w:gridCol w:w="3120"/>
            <w:gridCol w:w="2310"/>
            <w:gridCol w:w="3990"/>
            <w:gridCol w:w="4470"/>
          </w:tblGrid>
          <w:tr w:rsidR="00A07DCB">
            <w:trPr>
              <w:cantSplit/>
              <w:trHeight w:val="97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right="59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Блок, тема </w:t>
                </w: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4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>Змістові лінії</w:t>
                </w: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5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Діяльність </w:t>
                </w: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6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Очікувані результати </w:t>
                </w:r>
              </w:p>
            </w:tc>
          </w:tr>
          <w:tr w:rsidR="00A07DCB">
            <w:trPr>
              <w:cantSplit/>
              <w:trHeight w:val="518"/>
              <w:tblHeader/>
            </w:trPr>
            <w:tc>
              <w:tcPr>
                <w:tcW w:w="1389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Тема 4. </w:t>
                </w:r>
                <w:r>
                  <w:rPr>
                    <w:rFonts w:ascii="Arial" w:eastAsia="Arial" w:hAnsi="Arial" w:cs="Arial"/>
                    <w:b/>
                  </w:rPr>
                  <w:t xml:space="preserve">Тексти та публікації </w:t>
                </w:r>
              </w:p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(5  год, якщо тижневе навантаження 1 година)</w:t>
                </w:r>
              </w:p>
            </w:tc>
          </w:tr>
          <w:tr w:rsidR="00A07DCB">
            <w:trPr>
              <w:cantSplit/>
              <w:trHeight w:val="304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lastRenderedPageBreak/>
                  <w:t xml:space="preserve">Текстові документи. Різновиди публікацій. Друковані та електронні публікації. Лінійний та нелінійний текст. Формування, форматування, збереження текстових документів та публікацій у різних форматах. 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Форматування текстових документів за допомогою стилів. А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втоматизоване формування змісту документа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Колонтитули та нумерація сторінок. Злиття текстових документів. Шаблони документів (резюме, портфоліо, буклет, афіша тощо).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Публікації для соціальних мереж. Роль тексту для формування цифрового образу.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Засоби для перекладу текстів. 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“Інформація. Дані.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Моделі”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творчість”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“Цифрові пристрої”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Змістова лінія 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“Безпека та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відповідальність”</w:t>
                </w:r>
              </w:p>
              <w:p w:rsidR="00A07DCB" w:rsidRDefault="00A07DCB">
                <w:pPr>
                  <w:ind w:right="60"/>
                  <w:jc w:val="both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Створення, форматування та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збереження текстових докумен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тів.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Автоматизоване формування змісту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документа на основі стилів.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Додавання й налаштування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колонтитулів у текстових документах.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Додавання й налаштування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ілюстрацій у текстових документах.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 персоналізованих листів,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запрошень, звітів за допомогою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злиття.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Порівняння друкованих та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електронних публікацій (за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різноманітністю, можливостями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поширення, екологічністю тощо).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Порівняння шаблонів документів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різних видів, а також документів,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створених за цими шаблонами.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Підготовка текстів для дописів та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коментарів у соціальних мережах.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Використання різних способів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комп'ютеризованого перекладу тексту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(онлайн, програми-перекладачі,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включно зі скануванням). Організація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групової роботи над перекладом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тексту.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Рерайтинг текстів для різних цільових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аудиторій.</w:t>
                </w:r>
              </w:p>
              <w:p w:rsidR="00A07DCB" w:rsidRDefault="00A07D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Інформація. Дані. Моделі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описує, як інформаційні технології сприяють чи перешкоджають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новим формам досвіду, самовираженню, спілкуванню і співпраці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1.1.2-3]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створює анотовані списки інформаційних джерел [9 ІФО 1.2.3-4]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складає повідомленн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я на основі візуального представлення даних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1.2.5-2]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розпізнає хибні та упереджені твердження в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повідомленнях [9 ІФО 1.4.3-4]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Цифрова творчість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аналізує можливості програмних засобів для створення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інформаційних продуктів дл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я опрацювання стандартних типів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даних за власними критеріями, самостійно вивчає нові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2.4.2-1]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аргументовано обирає і використовує програмні засоби та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технології для створення і удосконалення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2.4.2-2]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створює інформацій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ні продукти в різних режимах (он-лайн,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оф-лайн), опрацьовує та зберігає їх у різних форматах [9 ІФО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2.4.3-1]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створює текстові документи з різними типами об’єктів,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оформлює багатосторінкові документи, використовує стильове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оформлення, автоматизовані засоби 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та різні способи введення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даних [9 ІФО 2.4.3-2]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використовує гіпертекстові документи і створює гіпертекстові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посилання в документах різних типів [9 ІФО 2.4.3-7]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пояснює особливості нелінійного тексту [9 ІФО 2.4.3-8]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визначає відповідність змісту і вигляду 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інформаційного продукту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цільовій аудиторії, збирає відгуки користувачів для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вдосконалення продукту [9 ІФО 2.4.3-10]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пропонує власні критерії оформлення і якості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2.4.3-11]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складає план роботи створення інформаційного продукту,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визначає кроки і ролі учасників, враховуючи якості та здібності,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необхідні для виконання різних задач [9 ІФО 2.5.1-1]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Цифрове середовище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зберігає резервну копію файлів на зовнішніх носіях чи у хмарних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сервісах, синхронізує їх [9 ІФО 3.3.1-7]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рупа вмінь Безпека та відповідальність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впевнено і аргументовано веде предметну дискусію,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дотримуючись етики спілкування і взаємодії в реальному та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віртуальному просторі [9 ІФО 4.2.1-1]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демонструє відповідальну поведінку, поводиться розважливо 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Інтернеті т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 застосовує кілька способів захисту себе та інших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осіб від порушень прав людини з використанням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та комунікаційних технологій [9 ІФО 4.2.1-3]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адаптує стратегії комунікації під конкретну аудиторію,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враховуючи культурну різноманітність і протир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іччя поколінь у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цифрових середовищах [9 ІФО 4.2.2-4]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розрізняє різновиди і серйозність порушень правил цитування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4.3.2-3]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аргументовано обирає ліцензію для створених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4.3.2-4]</w:t>
                </w: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</w:tr>
        </w:tbl>
      </w:sdtContent>
    </w:sdt>
    <w:p w:rsidR="00A07DCB" w:rsidRDefault="00A07DCB">
      <w:pPr>
        <w:spacing w:after="0"/>
        <w:ind w:left="-1418" w:right="10886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sz w:val="24"/>
          <w:szCs w:val="24"/>
        </w:rPr>
      </w:pPr>
    </w:p>
    <w:p w:rsidR="00A07DCB" w:rsidRDefault="00A07DCB">
      <w:pPr>
        <w:spacing w:after="0"/>
        <w:ind w:left="-1418" w:right="10886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sz w:val="24"/>
          <w:szCs w:val="24"/>
        </w:rPr>
      </w:pPr>
    </w:p>
    <w:sdt>
      <w:sdtPr>
        <w:tag w:val="goog_rdk_1"/>
        <w:id w:val="1713482005"/>
        <w:lock w:val="contentLocked"/>
      </w:sdtPr>
      <w:sdtContent>
        <w:tbl>
          <w:tblPr>
            <w:tblStyle w:val="a9"/>
            <w:tblpPr w:leftFromText="180" w:rightFromText="180" w:vertAnchor="page" w:horzAnchor="margin" w:tblpX="-15" w:tblpY="690"/>
            <w:tblW w:w="13890" w:type="dxa"/>
            <w:tblLayout w:type="fixed"/>
            <w:tblLook w:val="0400"/>
          </w:tblPr>
          <w:tblGrid>
            <w:gridCol w:w="3120"/>
            <w:gridCol w:w="2310"/>
            <w:gridCol w:w="3990"/>
            <w:gridCol w:w="4470"/>
          </w:tblGrid>
          <w:tr w:rsidR="00A07DCB">
            <w:trPr>
              <w:cantSplit/>
              <w:trHeight w:val="97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right="59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Блок, тема </w:t>
                </w: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4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>Змістові лінії</w:t>
                </w: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5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Діяльність </w:t>
                </w: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6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Очікувані результати </w:t>
                </w:r>
              </w:p>
            </w:tc>
          </w:tr>
          <w:tr w:rsidR="00A07DCB">
            <w:trPr>
              <w:cantSplit/>
              <w:trHeight w:val="518"/>
              <w:tblHeader/>
            </w:trPr>
            <w:tc>
              <w:tcPr>
                <w:tcW w:w="1389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lastRenderedPageBreak/>
                  <w:t xml:space="preserve">Тема 5. </w:t>
                </w:r>
                <w:r>
                  <w:rPr>
                    <w:rFonts w:ascii="Arial" w:eastAsia="Arial" w:hAnsi="Arial" w:cs="Arial"/>
                    <w:b/>
                  </w:rPr>
                  <w:t xml:space="preserve">Графічне програмування </w:t>
                </w:r>
              </w:p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(14  год, якщо тижневе навантаження 1 година)</w:t>
                </w:r>
              </w:p>
            </w:tc>
          </w:tr>
          <w:tr w:rsidR="00A07DCB">
            <w:trPr>
              <w:cantSplit/>
              <w:trHeight w:val="304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lastRenderedPageBreak/>
                  <w:t xml:space="preserve"> Середовище програмування: функції та можливості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Основні команди мови програмування. Робота зі змінними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Лінійний алгоритм. Черепашача графіка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Алгоритм створення зображень за допомогою графічного модуля Tutrle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Реалізація алгоритмів з розгалуженням. Умовний оператор if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Реалізація алгоритмів з повторенням. Оператор циклу while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Реалізація алгоритмів з повторенням. Оператор циклу for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Вкладені умови. Множинне розгалуження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Тестування та налагодження програм. Синтаксичні та логічні помилки. Покрокове виконання програми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Динамічна графіка (анімації)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“Інформаці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я. Дані.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Моделі”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творчість”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“Цифрові пристрої”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Змістова лінія 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“Безпека та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відповідальність”</w:t>
                </w:r>
              </w:p>
              <w:p w:rsidR="00A07DCB" w:rsidRDefault="00A07DCB">
                <w:pPr>
                  <w:ind w:right="60"/>
                  <w:jc w:val="both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 алгоритмів і програм з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використанням змінних і різних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алгоритмічних структур: лінійних,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розгалужень і повторень.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 та маніпулювання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базовими геометричними формами за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допомогою програмного коду.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 анімацій.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Налагодження програм на основі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наданих тестових даних.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Додавання помилок у програмний код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та взаємний пошук й виправлення цих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помилок.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Перевірка результату виконання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програми на відповідність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гіпотезі/прогнозу.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Оцінювання відповідності обраного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алгоритму поставленій задачі.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Отримання та надання зворотного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зв'язку щодо роботи програмного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проєкту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.</w:t>
                </w:r>
              </w:p>
              <w:p w:rsidR="00A07DCB" w:rsidRDefault="00A07D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Інформація. Дані. Моделі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висловлює та аргументує власну думку щодо поширення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цифрових інновацій і впливу інформаційних технологій на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власний розвиток, розвиток науки і суспільства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1.1.3-2]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візуально представляє дані, обґрунтовує вибраний спосіб 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реалізовує його за допомогою цифрових технологій для систем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реального та віртуального світу [9 ІФО 1.2.5-1]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розрізняє залежні і незалежні події, що змінюють стан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інформаційної моделі [9 ІФО 1.3.1-7]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Цифрова творчість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формулює і виконує основні етапи алгоритмічного розв’язування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задачі [9 ІФО 2.1.1-1]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створює алгоритми з вкладеними структурами та ітеративними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обчисленнями, аргументує їх вибір [9 ІФО 2.1.1-3]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прогнозує вплив зміни алгоритму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, наборів вхідних даних на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результат роботи алгоритму [9 ІФО 2.1.2-1]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розробляє та реалізує програмні проекти, які обробляють події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2.2.1-2]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розрізняє синтаксичні, логічні помилки і помилки часу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виконання, пропонує способи їх виправлення [9 ІФО 2.2.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2-2]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виявляє наполегливість, адаптивність, ініціативність, відкритість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 творчого експериментування під час розробки програмних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проектів [9 ІФО 2.2.2-4]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пропонує власні критерії оформлення і якості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2.4.3-11]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Цифрове середовище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обґрунтовує вибір апаратного чи програмного способу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розв’язання задачі [9 ІФО 3.1.1-2]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обирає, поєднує і налаштовує програмні і технічні засоби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відповідно до потреб, характеристик/ параметрів задачі і наявних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обмежень [9 ІФО 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3.2.1-3]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Безпека та відповідальність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розуміє ліцензійні (правові та етичні) обмеження на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використання та редагування власних і чужих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4.3.2-6]</w:t>
                </w: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</w:tr>
        </w:tbl>
      </w:sdtContent>
    </w:sdt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sz w:val="24"/>
          <w:szCs w:val="24"/>
        </w:rPr>
      </w:pPr>
    </w:p>
    <w:sdt>
      <w:sdtPr>
        <w:tag w:val="goog_rdk_2"/>
        <w:id w:val="1713482006"/>
        <w:lock w:val="contentLocked"/>
      </w:sdtPr>
      <w:sdtContent>
        <w:tbl>
          <w:tblPr>
            <w:tblStyle w:val="aa"/>
            <w:tblpPr w:leftFromText="180" w:rightFromText="180" w:vertAnchor="page" w:horzAnchor="margin" w:tblpY="316"/>
            <w:tblW w:w="13890" w:type="dxa"/>
            <w:tblLayout w:type="fixed"/>
            <w:tblLook w:val="0400"/>
          </w:tblPr>
          <w:tblGrid>
            <w:gridCol w:w="3120"/>
            <w:gridCol w:w="2310"/>
            <w:gridCol w:w="3990"/>
            <w:gridCol w:w="4470"/>
          </w:tblGrid>
          <w:tr w:rsidR="00A07DCB">
            <w:trPr>
              <w:cantSplit/>
              <w:trHeight w:val="97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right="59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Блок, тема </w:t>
                </w: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4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>Змістові лінії</w:t>
                </w: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5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Діяльність </w:t>
                </w: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BE5D5"/>
                <w:vAlign w:val="center"/>
              </w:tcPr>
              <w:p w:rsidR="00A07DCB" w:rsidRDefault="007276CB">
                <w:pPr>
                  <w:ind w:left="26"/>
                  <w:jc w:val="center"/>
                  <w:rPr>
                    <w:rFonts w:ascii="Times New Roman" w:eastAsia="Times New Roman" w:hAnsi="Times New Roman" w:cs="Times New Roman"/>
                    <w:color w:val="0D0D0D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D0D0D"/>
                    <w:sz w:val="24"/>
                    <w:szCs w:val="24"/>
                  </w:rPr>
                  <w:t xml:space="preserve">Очікувані результати </w:t>
                </w:r>
              </w:p>
            </w:tc>
          </w:tr>
          <w:tr w:rsidR="00A07DCB">
            <w:trPr>
              <w:cantSplit/>
              <w:trHeight w:val="518"/>
              <w:tblHeader/>
            </w:trPr>
            <w:tc>
              <w:tcPr>
                <w:tcW w:w="1389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Тема 6. </w:t>
                </w:r>
                <w:r>
                  <w:rPr>
                    <w:rFonts w:ascii="Arial" w:eastAsia="Arial" w:hAnsi="Arial" w:cs="Arial"/>
                  </w:rPr>
                  <w:t xml:space="preserve">Медіа-дизайн </w:t>
                </w:r>
              </w:p>
              <w:p w:rsidR="00A07DCB" w:rsidRDefault="007276C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(5  год, якщо тижневе навантаження 1 година)</w:t>
                </w:r>
              </w:p>
            </w:tc>
          </w:tr>
          <w:tr w:rsidR="00A07DCB">
            <w:trPr>
              <w:cantSplit/>
              <w:trHeight w:val="3046"/>
              <w:tblHeader/>
            </w:trPr>
            <w:tc>
              <w:tcPr>
                <w:tcW w:w="3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lastRenderedPageBreak/>
                  <w:t>Поняття мультимедіа та його складові. Сфери застосування. Апаратна та програмна складова мультимедіа Кодування аудіо та відео даних, формати аудіо-відео файлів. Медіаконтейнери. Кодеки.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Поняття про відеохостинг. Основні можливості: пошук відео, збереження.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Авторське право, види ліцензій на мультимедійний контент. Рівні доступу до опублікованого відео. ППЗ мультимедіа: програвачі, редактори, програми аудіо та відео захоплення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Власний цифровий відеобраз (культура комунікації, культура відеоконтенту, інфосимул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яція, дипфейк)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Публікація відео в інтернеті, види відеоподкастів. Моушн дизайн. Зворотний зв'язок та цільова аудиторія.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23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“Інформація. Дані.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Моделі”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творчість”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Змістова лінія “Цифрові пристрої”</w:t>
                </w:r>
              </w:p>
              <w:p w:rsidR="00A07DCB" w:rsidRDefault="00A07D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Змістова лінія 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“Безпека та</w:t>
                </w:r>
              </w:p>
              <w:p w:rsidR="00A07DCB" w:rsidRDefault="007276CB">
                <w:pP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відповідальність”</w:t>
                </w:r>
              </w:p>
              <w:p w:rsidR="00A07DCB" w:rsidRDefault="00A07DCB">
                <w:pPr>
                  <w:ind w:right="60"/>
                  <w:jc w:val="both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3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Пошук, зберігання, перегляд та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оцінювання відео в інтернеті з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дотриманням авторського права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перетворення за потреби відео файлів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 одного формату в інший.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Аналіз медіаконтенту, розпізнавання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маніпуляцій відеоконтентом.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Перевірка факту редагування відео.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Оцінювання відеоконтенту згідно із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поданими чи власними критеріями,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розробленими самостійно чи у групі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 основі цінностей та життєвого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досвіду.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Порівняння та обґрунтований вибір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програмного за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безпечення та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відеохостингу для роботи з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мультимедіа та публікації відео.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Налаштування студії, підбір пристроїв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та програм для створення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відеопідкасту.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Створення відеопідкасту обраної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тематики.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Додавання візуальних ефектів,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переходів, графічних елементів,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титрів, фрагменти відео, вкладання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зображення, інфографіки тощо.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Аргументоване визначення цільової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аудиторії для власного відео.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Оцінювання цифрового образу у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створеному відеоконтенті ( власного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та інших осіб).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Формулювання мети створення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цифрового образу (діловий, науковий,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популярний, рекламний тощо).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Критичний і відповідальний добір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інформації для висвітлення у контенті,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 тому числі приватної чи</w:t>
                </w:r>
              </w:p>
              <w:p w:rsidR="00A07DCB" w:rsidRDefault="007276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корпоративної. </w:t>
                </w:r>
              </w:p>
              <w:p w:rsidR="00A07DCB" w:rsidRDefault="00A07DCB">
                <w:pPr>
                  <w:ind w:right="32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  <w:tc>
              <w:tcPr>
                <w:tcW w:w="44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right w:w="58" w:type="dxa"/>
                </w:tcMar>
              </w:tcPr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Інформація. Дані. Моделі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наводить приклади використання базових понять інформатики 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різних предметних галузях, у житті громади, суспільства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1.1.1-2]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оцінює власний досвід інформаційної взаємодії, самовираження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через цифрові технології, вплив власної цифрової діяльності на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інших осіб [9 ІФО 1.1.2-1]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обговорює історичні зміни інформаційних технологій та їх вплив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на освіту, виробництво, суспільство, культуру з плином часу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1.1.3-3]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розпізнає інформаційні процеси в навчальних чи життєвих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задачах, пояснює їх сутність [9 ІФ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 1.2.1-1]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обґрунтовано вибирає формат даних для збереження об’єктів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різних типів, враховуючи можливість втрати даних [9 ІФО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1.2.4-4]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користується наданими і пропонує свої критерії щодо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оцінювання надійності інформаційних джерел [9 ІФО 1.4.1-2]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розпізнає сильні і слабкі аргументи щодо оцінювання джерел 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даних в альтернативних поглядах [9 ІФО 1.4.1-3]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використовує факти та неявні докази під час формування власних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висновків на основі аналізу медіатекстів [9 ІФО 1.4.1-4]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підтверджує/спростовує факт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 редагування фото, зображень,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аудіо, відео тощо за допомогою цифрових інструментів 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технологій [9 ІФО 1.4.2-1]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Група вмінь Цифрова творчість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обирає та комбінує ряд текстів, зображень, звуків, анімацій, відео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тощо для проектування, розробки, публікації та 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представлення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інформаційних продуктів і виконання творчих і навчальних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проектів [9 ІФО 2.4.1-1]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аналізує можливості програмних засобів для створення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інформаційних продуктів для опрацювання стандартних типів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даних за власними критеріями, самостійно вивчає н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ові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[9 ІФО 2.4.2-1]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аргументовано обирає і використовує програмні засоби та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технології для створення і удосконалення інформаційних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продуктів [9 ІФО 2.4.2-2]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створює інформаційні продукти в різних режимах (он-лайн,</w:t>
                </w:r>
              </w:p>
              <w:p w:rsidR="00A07DCB" w:rsidRDefault="007276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>оф-лайн), опрацьовує та зберігає їх у різн</w:t>
                </w:r>
                <w:r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  <w:t xml:space="preserve">их форматах </w:t>
                </w: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  <w:p w:rsidR="00A07DCB" w:rsidRDefault="00A07DCB">
                <w:pPr>
                  <w:ind w:right="154"/>
                  <w:rPr>
                    <w:rFonts w:ascii="Times New Roman" w:eastAsia="Times New Roman" w:hAnsi="Times New Roman" w:cs="Times New Roman"/>
                    <w:color w:val="0D0D0D"/>
                    <w:sz w:val="20"/>
                    <w:szCs w:val="20"/>
                  </w:rPr>
                </w:pPr>
              </w:p>
            </w:tc>
          </w:tr>
        </w:tbl>
      </w:sdtContent>
    </w:sdt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sz w:val="24"/>
          <w:szCs w:val="24"/>
        </w:rPr>
      </w:pPr>
    </w:p>
    <w:p w:rsidR="00A07DCB" w:rsidRDefault="00A07DCB">
      <w:pPr>
        <w:tabs>
          <w:tab w:val="left" w:pos="3768"/>
        </w:tabs>
        <w:rPr>
          <w:sz w:val="24"/>
          <w:szCs w:val="24"/>
        </w:rPr>
      </w:pPr>
    </w:p>
    <w:p w:rsidR="00A07DCB" w:rsidRDefault="00A07DCB">
      <w:pPr>
        <w:spacing w:after="0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sectPr w:rsidR="00A07DCB">
          <w:footerReference w:type="even" r:id="rId11"/>
          <w:footerReference w:type="default" r:id="rId12"/>
          <w:footerReference w:type="first" r:id="rId13"/>
          <w:pgSz w:w="16838" w:h="11906" w:orient="landscape"/>
          <w:pgMar w:top="284" w:right="4931" w:bottom="1212" w:left="1418" w:header="720" w:footer="720" w:gutter="0"/>
          <w:cols w:space="720"/>
          <w:titlePg/>
        </w:sectPr>
      </w:pPr>
    </w:p>
    <w:p w:rsidR="00A07DCB" w:rsidRDefault="00727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21" w:line="270" w:lineRule="auto"/>
        <w:ind w:left="-566" w:right="-4371" w:hanging="15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lastRenderedPageBreak/>
        <w:t>ІІІ. Перелік навчально-методичного і матеріально-технічного забезпечення навчального процесу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</w:p>
    <w:p w:rsidR="00A07DCB" w:rsidRDefault="007276CB">
      <w:pPr>
        <w:numPr>
          <w:ilvl w:val="0"/>
          <w:numId w:val="5"/>
        </w:numPr>
        <w:spacing w:after="43" w:line="251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Операційна система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7276CB">
      <w:pPr>
        <w:numPr>
          <w:ilvl w:val="0"/>
          <w:numId w:val="5"/>
        </w:numPr>
        <w:spacing w:after="43" w:line="251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Браузер </w:t>
      </w:r>
    </w:p>
    <w:p w:rsidR="00A07DCB" w:rsidRDefault="007276CB">
      <w:pPr>
        <w:numPr>
          <w:ilvl w:val="0"/>
          <w:numId w:val="5"/>
        </w:numP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Графічний редактор </w:t>
      </w:r>
    </w:p>
    <w:p w:rsidR="00A07DCB" w:rsidRDefault="007276CB">
      <w:pPr>
        <w:numPr>
          <w:ilvl w:val="0"/>
          <w:numId w:val="5"/>
        </w:numP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Текстовий процесор </w:t>
      </w:r>
    </w:p>
    <w:p w:rsidR="00A07DCB" w:rsidRDefault="007276CB">
      <w:pPr>
        <w:numPr>
          <w:ilvl w:val="0"/>
          <w:numId w:val="5"/>
        </w:numPr>
        <w:spacing w:after="9" w:line="251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Онлайн-перекладач </w:t>
      </w:r>
    </w:p>
    <w:p w:rsidR="00A07DCB" w:rsidRDefault="00727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болонка мови програмування Python</w:t>
      </w:r>
    </w:p>
    <w:p w:rsidR="00A07DCB" w:rsidRDefault="00727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Платформа графічного дизайну</w:t>
      </w:r>
    </w:p>
    <w:p w:rsidR="00A07DCB" w:rsidRDefault="00A07DCB">
      <w:pPr>
        <w:spacing w:after="0"/>
        <w:ind w:left="-566" w:right="-4371" w:hanging="1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07DCB" w:rsidRDefault="007276CB">
      <w:pPr>
        <w:spacing w:after="0"/>
        <w:ind w:left="-566" w:right="-4371" w:hanging="1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Навчальні матеріали знаходяться в публічному Telegram каналі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https://t.me/+tmOXVvfRt9U4OTli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A07DCB">
      <w:pPr>
        <w:spacing w:after="0"/>
        <w:ind w:left="-566" w:right="-4371" w:hanging="15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A07DCB" w:rsidRDefault="007276CB">
      <w:pPr>
        <w:spacing w:after="196"/>
        <w:ind w:left="-566" w:right="-4371" w:hanging="15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727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4" w:line="270" w:lineRule="auto"/>
        <w:ind w:left="-566" w:right="-4371" w:hanging="15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ІV. Система оцінювання результатів навчання </w:t>
      </w:r>
    </w:p>
    <w:p w:rsidR="00A07DCB" w:rsidRDefault="007276CB">
      <w:pPr>
        <w:spacing w:after="137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Базується  на положеннях Рекомендацій щодо оцінювання навчальних досягнень учнів 56 класів, які здобувають освіту відповідно до нового Державного стандарту базової середньої освіти, затверджених наказом Міністерства освіти і науки України 01 квітня 2022 р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за. № 289 та Загальних критеріях оцінювання результатів навчання учнів 5-6 класів, які здобувають освіту відповідно до нового Державного стандарту базової середньої освіти (додаток №2 до наказу №289) </w:t>
      </w:r>
    </w:p>
    <w:p w:rsidR="00A07DCB" w:rsidRDefault="007276CB">
      <w:pPr>
        <w:spacing w:after="120" w:line="314" w:lineRule="auto"/>
        <w:ind w:left="-566" w:right="-4371" w:hanging="1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Основними видами оцінювання результатів навчання учнів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що проводяться закладом, є формувальне, поточне та підсумкове: тематичне, семестрове, річне. </w:t>
      </w:r>
    </w:p>
    <w:p w:rsidR="00A07DCB" w:rsidRDefault="007276CB">
      <w:pPr>
        <w:spacing w:after="70" w:line="251" w:lineRule="auto"/>
        <w:ind w:left="-566" w:right="-4371" w:hanging="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оцінювання (бальна/рівнева): </w:t>
      </w:r>
    </w:p>
    <w:p w:rsidR="00A07DCB" w:rsidRDefault="007276CB">
      <w:pPr>
        <w:numPr>
          <w:ilvl w:val="0"/>
          <w:numId w:val="1"/>
        </w:numP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10, 11, 12 – В (високий) </w:t>
      </w:r>
    </w:p>
    <w:p w:rsidR="00A07DCB" w:rsidRDefault="007276CB">
      <w:pPr>
        <w:numPr>
          <w:ilvl w:val="0"/>
          <w:numId w:val="1"/>
        </w:numPr>
        <w:spacing w:after="38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7, 8, 9 – Д (достатній) </w:t>
      </w:r>
    </w:p>
    <w:p w:rsidR="00A07DCB" w:rsidRDefault="007276CB">
      <w:pPr>
        <w:numPr>
          <w:ilvl w:val="0"/>
          <w:numId w:val="1"/>
        </w:numPr>
        <w:spacing w:after="0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4, 5, 6 – С (середній) </w:t>
      </w:r>
    </w:p>
    <w:p w:rsidR="00A07DCB" w:rsidRDefault="007276CB">
      <w:pPr>
        <w:numPr>
          <w:ilvl w:val="0"/>
          <w:numId w:val="1"/>
        </w:numPr>
        <w:spacing w:after="0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1, 2, 3 – П (початковий) </w:t>
      </w: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A07DCB">
      <w:pPr>
        <w:spacing w:after="0"/>
        <w:ind w:left="-566" w:right="-4371" w:hanging="15"/>
        <w:jc w:val="both"/>
      </w:pPr>
    </w:p>
    <w:p w:rsidR="00A07DCB" w:rsidRDefault="00727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5" w:line="270" w:lineRule="auto"/>
        <w:ind w:left="-566" w:right="-4371" w:hanging="15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lastRenderedPageBreak/>
        <w:t xml:space="preserve">V. Список літератури та інформаційних ресурсів </w:t>
      </w:r>
    </w:p>
    <w:p w:rsidR="00A07DCB" w:rsidRDefault="007276CB">
      <w:pPr>
        <w:numPr>
          <w:ilvl w:val="0"/>
          <w:numId w:val="2"/>
        </w:numPr>
        <w:spacing w:after="3" w:line="249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Державний стандарт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повної загальної середньої освіти.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https://www.kmu.gov.ua/npas/prodeyaki-pitannya-derzhavnih-standartiv-povnoyi-zagalnoyi-serednoyi-osviti-i300920-898</w:t>
        </w:r>
      </w:hyperlink>
      <w:hyperlink r:id="rId16">
        <w:r>
          <w:rPr>
            <w:rFonts w:ascii="Times New Roman" w:eastAsia="Times New Roman" w:hAnsi="Times New Roman" w:cs="Times New Roman"/>
            <w:color w:val="050505"/>
            <w:sz w:val="24"/>
            <w:szCs w:val="24"/>
          </w:rPr>
          <w:t xml:space="preserve"> </w:t>
        </w:r>
      </w:hyperlink>
    </w:p>
    <w:p w:rsidR="00A07DCB" w:rsidRDefault="007276CB">
      <w:pPr>
        <w:spacing w:after="22"/>
        <w:ind w:left="-566" w:right="-4371" w:hanging="15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7276CB">
      <w:pPr>
        <w:numPr>
          <w:ilvl w:val="0"/>
          <w:numId w:val="2"/>
        </w:numPr>
        <w:spacing w:after="3" w:line="249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ельна навчальна програма. «Інформатика. 5-6 клас» для закладів загальної середньої освіти (авт.  Пасічник О. В., Чернікова Л. А.).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«Рекомендовано Міністерством освіти і науки України» (наказ Міністерства освіти і науки України від 12.07.2021 № 795).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https://mon.gov.ua/storage/app/media/zagalna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%20serednya/Navchalni.prohramy/2021/14.07/Model.na vch.prohr.5-9.klas.NUSH-poetap.z.2022/Inform.osv.haluz.5-6-kl/Inform.5-6kl.Pasichnyk.Chernikova.14.07.pdf</w:t>
        </w:r>
      </w:hyperlink>
      <w:hyperlink r:id="rId1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7276CB">
      <w:pPr>
        <w:spacing w:after="22"/>
        <w:ind w:left="-566" w:right="-4371" w:hanging="15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7276CB">
      <w:pPr>
        <w:spacing w:after="22"/>
        <w:ind w:left="-566" w:right="-4371" w:hanging="15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A07DCB" w:rsidRDefault="007276CB">
      <w:pPr>
        <w:spacing w:after="0" w:line="290" w:lineRule="auto"/>
        <w:ind w:left="-566" w:right="-4371" w:hanging="15"/>
        <w:jc w:val="both"/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освіти, наказ Міністерства освіти і науки України 01.04.2022 р. № 289. </w:t>
      </w:r>
    </w:p>
    <w:p w:rsidR="00A07DCB" w:rsidRDefault="00A07DCB">
      <w:pPr>
        <w:spacing w:after="3" w:line="249" w:lineRule="auto"/>
        <w:ind w:left="-566" w:right="-4371" w:hanging="15"/>
        <w:jc w:val="both"/>
      </w:pPr>
      <w:hyperlink r:id="rId19">
        <w:r w:rsidR="00727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https://osvita.ua/doc/files/news/861/86195/OCINYuVANNYa_OST818.pdf</w:t>
        </w:r>
      </w:hyperlink>
      <w:hyperlink r:id="rId20">
        <w:r w:rsidR="007276C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spacing w:after="3" w:line="249" w:lineRule="auto"/>
        <w:ind w:left="-566" w:right="-4371" w:hanging="15"/>
        <w:jc w:val="both"/>
      </w:pPr>
    </w:p>
    <w:p w:rsidR="00A07DCB" w:rsidRDefault="00A07DCB">
      <w:pPr>
        <w:ind w:left="-566" w:right="-4371" w:hanging="15"/>
      </w:pPr>
    </w:p>
    <w:sectPr w:rsidR="00A07DCB" w:rsidSect="00A07DCB">
      <w:pgSz w:w="11906" w:h="16838"/>
      <w:pgMar w:top="284" w:right="4931" w:bottom="121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CB" w:rsidRDefault="007276CB" w:rsidP="00A07DCB">
      <w:pPr>
        <w:spacing w:after="0" w:line="240" w:lineRule="auto"/>
      </w:pPr>
      <w:r>
        <w:separator/>
      </w:r>
    </w:p>
  </w:endnote>
  <w:endnote w:type="continuationSeparator" w:id="1">
    <w:p w:rsidR="007276CB" w:rsidRDefault="007276CB" w:rsidP="00A0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>
    <w:pPr>
      <w:spacing w:after="0"/>
      <w:ind w:right="-5390"/>
      <w:jc w:val="right"/>
    </w:pPr>
    <w:r>
      <w:fldChar w:fldCharType="begin"/>
    </w:r>
    <w:r w:rsidR="007276CB">
      <w:instrText>PAGE</w:instrText>
    </w:r>
    <w:r>
      <w:fldChar w:fldCharType="end"/>
    </w:r>
    <w:r w:rsidR="007276CB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>
    <w:pPr>
      <w:spacing w:after="0"/>
      <w:ind w:right="-5390"/>
      <w:jc w:val="right"/>
    </w:pPr>
    <w:r>
      <w:fldChar w:fldCharType="begin"/>
    </w:r>
    <w:r w:rsidR="007276CB">
      <w:instrText>PAGE</w:instrText>
    </w:r>
    <w:r w:rsidR="00A43B00">
      <w:fldChar w:fldCharType="separate"/>
    </w:r>
    <w:r w:rsidR="00A43B00">
      <w:rPr>
        <w:noProof/>
      </w:rPr>
      <w:t>21</w:t>
    </w:r>
    <w:r>
      <w:fldChar w:fldCharType="end"/>
    </w:r>
    <w:r w:rsidR="007276CB"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CB" w:rsidRDefault="00A07D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CB" w:rsidRDefault="007276CB" w:rsidP="00A07DCB">
      <w:pPr>
        <w:spacing w:after="0" w:line="240" w:lineRule="auto"/>
      </w:pPr>
      <w:r>
        <w:separator/>
      </w:r>
    </w:p>
  </w:footnote>
  <w:footnote w:type="continuationSeparator" w:id="1">
    <w:p w:rsidR="007276CB" w:rsidRDefault="007276CB" w:rsidP="00A0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F6B"/>
    <w:multiLevelType w:val="multilevel"/>
    <w:tmpl w:val="F1C6C0DE"/>
    <w:lvl w:ilvl="0">
      <w:start w:val="1"/>
      <w:numFmt w:val="bullet"/>
      <w:lvlText w:val="•"/>
      <w:lvlJc w:val="left"/>
      <w:pPr>
        <w:ind w:left="799" w:hanging="799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22" w:hanging="152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42" w:hanging="224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62" w:hanging="2962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82" w:hanging="368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02" w:hanging="440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22" w:hanging="5122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42" w:hanging="584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62" w:hanging="6562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B4160D3"/>
    <w:multiLevelType w:val="multilevel"/>
    <w:tmpl w:val="A8EA8970"/>
    <w:lvl w:ilvl="0">
      <w:start w:val="1"/>
      <w:numFmt w:val="decimal"/>
      <w:lvlText w:val="%1.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AAB4AFE"/>
    <w:multiLevelType w:val="multilevel"/>
    <w:tmpl w:val="7CDC7F78"/>
    <w:lvl w:ilvl="0">
      <w:start w:val="1"/>
      <w:numFmt w:val="bullet"/>
      <w:lvlText w:val="●"/>
      <w:lvlJc w:val="left"/>
      <w:pPr>
        <w:ind w:left="14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6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1732B0"/>
    <w:multiLevelType w:val="multilevel"/>
    <w:tmpl w:val="928EEEA6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50505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nsid w:val="4E584C04"/>
    <w:multiLevelType w:val="multilevel"/>
    <w:tmpl w:val="DB0AB9DE"/>
    <w:lvl w:ilvl="0">
      <w:start w:val="1"/>
      <w:numFmt w:val="bullet"/>
      <w:lvlText w:val="●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DCB"/>
    <w:rsid w:val="007276CB"/>
    <w:rsid w:val="00A07DCB"/>
    <w:rsid w:val="00A4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4D"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95E2D"/>
    <w:pPr>
      <w:keepNext/>
      <w:keepLines/>
      <w:spacing w:after="220"/>
      <w:ind w:right="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95E2D"/>
    <w:pPr>
      <w:keepNext/>
      <w:keepLines/>
      <w:spacing w:after="65" w:line="270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50505"/>
      <w:sz w:val="28"/>
    </w:rPr>
  </w:style>
  <w:style w:type="paragraph" w:styleId="Heading3">
    <w:name w:val="heading 3"/>
    <w:basedOn w:val="normal0"/>
    <w:next w:val="normal0"/>
    <w:rsid w:val="00A07D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07D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07D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07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07DCB"/>
  </w:style>
  <w:style w:type="paragraph" w:styleId="Title">
    <w:name w:val="Title"/>
    <w:basedOn w:val="normal0"/>
    <w:next w:val="normal0"/>
    <w:rsid w:val="00A07D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07DCB"/>
  </w:style>
  <w:style w:type="character" w:customStyle="1" w:styleId="Heading1Char">
    <w:name w:val="Heading 1 Char"/>
    <w:basedOn w:val="DefaultParagraphFont"/>
    <w:link w:val="Heading1"/>
    <w:rsid w:val="00395E2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95E2D"/>
    <w:rPr>
      <w:rFonts w:ascii="Times New Roman" w:eastAsia="Times New Roman" w:hAnsi="Times New Roman" w:cs="Times New Roman"/>
      <w:b/>
      <w:color w:val="050505"/>
      <w:sz w:val="28"/>
      <w:lang w:val="en-US"/>
    </w:rPr>
  </w:style>
  <w:style w:type="table" w:customStyle="1" w:styleId="TableGrid">
    <w:name w:val="TableGrid"/>
    <w:rsid w:val="00395E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2D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95E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95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E2D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rsid w:val="00A07D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0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1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50" w:type="dxa"/>
      </w:tblCellMar>
    </w:tblPr>
  </w:style>
  <w:style w:type="table" w:customStyle="1" w:styleId="a2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74" w:type="dxa"/>
      </w:tblCellMar>
    </w:tblPr>
  </w:style>
  <w:style w:type="table" w:customStyle="1" w:styleId="a3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7" w:type="dxa"/>
        <w:left w:w="108" w:type="dxa"/>
        <w:bottom w:w="0" w:type="dxa"/>
        <w:right w:w="74" w:type="dxa"/>
      </w:tblCellMar>
    </w:tblPr>
  </w:style>
  <w:style w:type="table" w:customStyle="1" w:styleId="a4">
    <w:basedOn w:val="TableNormal"/>
    <w:rsid w:val="00A07DC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07D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mon.gov.ua/storage/app/media/zagalna%20serednya/Navchalni.prohramy/2021/14.07/Model.navch.prohr.5-9.klas.NUSH-poetap.z.2022/Inform.osv.haluz.5-6-kl/Inform.5-6-kl.Pasichnyk.Chernikova.14.0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mon.gov.ua/storage/app/media/zagalna%20serednya/Navchalni.prohramy/2021/14.07/Model.navch.prohr.5-9.klas.NUSH-poetap.z.2022/Inform.osv.haluz.5-6-kl/Inform.5-6-kl.Pasichnyk.Chernikova.14.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mu.gov.ua/npas/pro-deyaki-pitannya-derzhavnih-standartiv-povnoyi-zagalnoyi-serednoyi-osviti-i300920-898" TargetMode="External"/><Relationship Id="rId20" Type="http://schemas.openxmlformats.org/officeDocument/2006/relationships/hyperlink" Target="https://osvita.ua/doc/files/news/861/86195/OCINYuVANNYa_OST8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npas/pro-deyaki-pitannya-derzhavnih-standartiv-povnoyi-zagalnoyi-serednoyi-osviti-i300920-898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osvita.ua/doc/files/news/861/86195/OCINYuVANNYa_OST81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t.me/+tmOXVvfRt9U4OTl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Cj2qakGrmRajqsRBv/luqlK2Q==">CgMxLjAaHwoBMBIaChgICVIUChJ0YWJsZS51NTA2ejY3ZG9vazIaHwoBMRIaChgICVIUChJ0YWJsZS55ajlmZGQ2Zzk3dHUaHwoBMhIaChgICVIUChJ0YWJsZS5qOGN3cG9mc3F1Mmk4AHIhMWpPaGR1S1dORHhEQzFQQXcyMmcwTFpBYkt6bEtKazFB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5680</Words>
  <Characters>32382</Characters>
  <Application>Microsoft Office Word</Application>
  <DocSecurity>0</DocSecurity>
  <Lines>269</Lines>
  <Paragraphs>75</Paragraphs>
  <ScaleCrop>false</ScaleCrop>
  <Company>*</Company>
  <LinksUpToDate>false</LinksUpToDate>
  <CharactersWithSpaces>37987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Тріщук</dc:creator>
  <cp:lastModifiedBy>Admin</cp:lastModifiedBy>
  <cp:revision>2</cp:revision>
  <dcterms:created xsi:type="dcterms:W3CDTF">2024-09-01T09:20:00Z</dcterms:created>
  <dcterms:modified xsi:type="dcterms:W3CDTF">2024-09-01T09:20:00Z</dcterms:modified>
</cp:coreProperties>
</file>